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media/image1.png" ContentType="image/png"/>
  <Override PartName="/word/settings.xml" ContentType="application/vnd.openxmlformats-officedocument.wordprocessingml.settings+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theme/theme1.xml" ContentType="application/vnd.openxmlformats-officedocument.theme+xml"/>
  <Override PartName="/word/_rels/document.xml.rels" ContentType="application/vnd.openxmlformats-package.relationships+xml"/>
  <Override PartName="/_rels/.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jc w:val="center"/>
        <w:rPr>
          <w:rFonts w:ascii="Arial" w:hAnsi="Arial" w:cs="Arial"/>
          <w:b/>
          <w:bCs/>
          <w:i/>
          <w:i/>
          <w:iCs/>
          <w:sz w:val="20"/>
          <w:szCs w:val="20"/>
        </w:rPr>
      </w:pPr>
      <w:r>
        <w:rPr>
          <w:rFonts w:cs="Arial" w:ascii="Arial" w:hAnsi="Arial"/>
          <w:b/>
          <w:bCs/>
          <w:i/>
          <w:iCs/>
          <w:sz w:val="20"/>
          <w:szCs w:val="20"/>
        </w:rPr>
      </w:r>
    </w:p>
    <w:p>
      <w:pPr>
        <w:pStyle w:val="Normal"/>
        <w:jc w:val="center"/>
        <w:rPr>
          <w:rFonts w:ascii="Calibri Light" w:hAnsi="Calibri Light" w:eastAsia="Calibri" w:cs="Calibri"/>
          <w:b/>
        </w:rPr>
      </w:pPr>
      <w:r>
        <w:rPr>
          <w:rFonts w:eastAsia="Calibri" w:cs="Calibri" w:ascii="Calibri Light" w:hAnsi="Calibri Light"/>
          <w:b/>
        </w:rPr>
        <w:drawing>
          <wp:anchor behindDoc="0" distT="0" distB="0" distL="0" distR="0" simplePos="0" locked="0" layoutInCell="0" allowOverlap="1" relativeHeight="2">
            <wp:simplePos x="0" y="0"/>
            <wp:positionH relativeFrom="column">
              <wp:posOffset>2683510</wp:posOffset>
            </wp:positionH>
            <wp:positionV relativeFrom="paragraph">
              <wp:posOffset>129540</wp:posOffset>
            </wp:positionV>
            <wp:extent cx="577850" cy="508000"/>
            <wp:effectExtent l="0" t="0" r="0" b="0"/>
            <wp:wrapSquare wrapText="bothSides"/>
            <wp:docPr id="1" name="image1.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png" descr=""/>
                    <pic:cNvPicPr>
                      <a:picLocks noChangeAspect="1" noChangeArrowheads="1"/>
                    </pic:cNvPicPr>
                  </pic:nvPicPr>
                  <pic:blipFill>
                    <a:blip r:embed="rId2"/>
                    <a:stretch>
                      <a:fillRect/>
                    </a:stretch>
                  </pic:blipFill>
                  <pic:spPr bwMode="auto">
                    <a:xfrm>
                      <a:off x="0" y="0"/>
                      <a:ext cx="577850" cy="508000"/>
                    </a:xfrm>
                    <a:prstGeom prst="rect">
                      <a:avLst/>
                    </a:prstGeom>
                  </pic:spPr>
                </pic:pic>
              </a:graphicData>
            </a:graphic>
          </wp:anchor>
        </w:drawing>
      </w:r>
    </w:p>
    <w:p>
      <w:pPr>
        <w:pStyle w:val="Normal"/>
        <w:jc w:val="center"/>
        <w:rPr>
          <w:rFonts w:ascii="Calibri Light" w:hAnsi="Calibri Light" w:eastAsia="Calibri" w:cs="Calibri"/>
          <w:b/>
        </w:rPr>
      </w:pPr>
      <w:r>
        <w:rPr>
          <w:rFonts w:eastAsia="Calibri" w:cs="Calibri" w:ascii="Calibri Light" w:hAnsi="Calibri Light"/>
          <w:b/>
        </w:rPr>
      </w:r>
    </w:p>
    <w:p>
      <w:pPr>
        <w:pStyle w:val="Normal"/>
        <w:jc w:val="center"/>
        <w:rPr>
          <w:rFonts w:ascii="Calibri Light" w:hAnsi="Calibri Light" w:eastAsia="Calibri" w:cs="Calibri"/>
          <w:b/>
        </w:rPr>
      </w:pPr>
      <w:r>
        <w:rPr>
          <w:rFonts w:eastAsia="Calibri" w:cs="Calibri" w:ascii="Calibri Light" w:hAnsi="Calibri Light"/>
          <w:b/>
        </w:rPr>
      </w:r>
    </w:p>
    <w:p>
      <w:pPr>
        <w:pStyle w:val="BodyText"/>
        <w:spacing w:before="0" w:after="83"/>
        <w:jc w:val="center"/>
        <w:rPr>
          <w:rFonts w:eastAsia="Calibri" w:cs="Arial"/>
          <w:b/>
          <w:bCs/>
        </w:rPr>
      </w:pPr>
      <w:r>
        <w:rPr>
          <w:rFonts w:eastAsia="Calibri" w:cs="Arial"/>
          <w:b/>
          <w:bCs/>
        </w:rPr>
      </w:r>
    </w:p>
    <w:p>
      <w:pPr>
        <w:pStyle w:val="BodyText"/>
        <w:spacing w:before="0" w:after="83"/>
        <w:jc w:val="center"/>
        <w:rPr>
          <w:rFonts w:eastAsia="Calibri" w:cs="Arial"/>
          <w:b/>
          <w:bCs/>
        </w:rPr>
      </w:pPr>
      <w:r>
        <w:rPr>
          <w:rFonts w:eastAsia="Calibri" w:cs="Arial"/>
          <w:b/>
          <w:bCs/>
        </w:rPr>
        <w:t xml:space="preserve">MINISTÉRIO DA DEFESA </w:t>
      </w:r>
    </w:p>
    <w:p>
      <w:pPr>
        <w:pStyle w:val="BodyText"/>
        <w:spacing w:before="0" w:after="83"/>
        <w:jc w:val="center"/>
        <w:rPr>
          <w:b/>
        </w:rPr>
      </w:pPr>
      <w:r>
        <w:rPr>
          <w:b/>
        </w:rPr>
        <w:t>EXÉRCITO BRASILEIRO</w:t>
      </w:r>
    </w:p>
    <w:p>
      <w:pPr>
        <w:pStyle w:val="BodyText"/>
        <w:spacing w:before="0" w:after="83"/>
        <w:jc w:val="center"/>
        <w:rPr>
          <w:b/>
        </w:rPr>
      </w:pPr>
      <w:r>
        <w:rPr>
          <w:b/>
        </w:rPr>
        <w:t>CMN - 23ª Bda Inf Sl</w:t>
      </w:r>
    </w:p>
    <w:p>
      <w:pPr>
        <w:pStyle w:val="BodyText"/>
        <w:spacing w:before="0" w:after="83"/>
        <w:jc w:val="center"/>
        <w:rPr>
          <w:b/>
        </w:rPr>
      </w:pPr>
      <w:r>
        <w:rPr>
          <w:b/>
        </w:rPr>
        <w:t>50º BATALHÃO DE INFANTARIA DE SELVA</w:t>
      </w:r>
    </w:p>
    <w:p>
      <w:pPr>
        <w:pStyle w:val="BodyText"/>
        <w:spacing w:before="0" w:after="83"/>
        <w:jc w:val="center"/>
        <w:rPr>
          <w:b/>
        </w:rPr>
      </w:pPr>
      <w:r>
        <w:rPr>
          <w:b/>
        </w:rPr>
        <w:t>(24 BC/1919)</w:t>
      </w:r>
    </w:p>
    <w:p>
      <w:pPr>
        <w:pStyle w:val="BodyText"/>
        <w:spacing w:before="0" w:after="83"/>
        <w:jc w:val="center"/>
        <w:rPr/>
      </w:pPr>
      <w:r>
        <w:rPr>
          <w:b/>
        </w:rPr>
        <w:t>BATALHÃO CAP MOR MONIZ BARRETO</w:t>
      </w:r>
    </w:p>
    <w:p>
      <w:pPr>
        <w:pStyle w:val="Normal"/>
        <w:spacing w:lineRule="auto" w:line="276" w:before="0" w:after="120"/>
        <w:ind w:right="-15"/>
        <w:jc w:val="center"/>
        <w:rPr>
          <w:rFonts w:ascii="Times New Roman" w:hAnsi="Times New Roman"/>
        </w:rPr>
      </w:pPr>
      <w:r>
        <w:rPr>
          <w:rFonts w:cs="Arial" w:ascii="Times New Roman" w:hAnsi="Times New Roman"/>
          <w:b/>
          <w:bCs/>
        </w:rPr>
        <w:t xml:space="preserve">Processo Administrativo n.° </w:t>
      </w:r>
      <w:r>
        <w:rPr>
          <w:rFonts w:cs="Arial" w:ascii="Times New Roman" w:hAnsi="Times New Roman"/>
          <w:b/>
          <w:bCs/>
          <w:color w:val="000000"/>
        </w:rPr>
        <w:t xml:space="preserve"> </w:t>
      </w:r>
      <w:r>
        <w:rPr>
          <w:rFonts w:cs="Arial" w:ascii="Times New Roman" w:hAnsi="Times New Roman"/>
          <w:b/>
          <w:bCs/>
          <w:color w:val="000000"/>
          <w:sz w:val="24"/>
        </w:rPr>
        <w:t>64118.008414/2024-28</w:t>
      </w:r>
    </w:p>
    <w:p>
      <w:pPr>
        <w:pStyle w:val="Normal"/>
        <w:rPr>
          <w:rFonts w:ascii="Times New Roman" w:hAnsi="Times New Roman" w:cs="Arial"/>
        </w:rPr>
      </w:pPr>
      <w:r>
        <w:rPr>
          <w:rFonts w:cs="Arial" w:ascii="Times New Roman" w:hAnsi="Times New Roman"/>
        </w:rPr>
      </w:r>
      <w:bookmarkStart w:id="0" w:name="_Hlk82471863"/>
      <w:bookmarkStart w:id="1" w:name="_Hlk82471863"/>
      <w:bookmarkEnd w:id="1"/>
    </w:p>
    <w:p>
      <w:pPr>
        <w:pStyle w:val="Nivel01"/>
        <w:numPr>
          <w:ilvl w:val="0"/>
          <w:numId w:val="4"/>
        </w:numPr>
        <w:ind w:hanging="0" w:left="0"/>
        <w:rPr/>
      </w:pPr>
      <w:r>
        <w:rPr/>
        <w:t>CONDIÇÕES GERAIS DA CONTRATAÇÃO</w:t>
      </w:r>
    </w:p>
    <w:p>
      <w:pPr>
        <w:pStyle w:val="Nivel2"/>
        <w:numPr>
          <w:ilvl w:val="1"/>
          <w:numId w:val="145"/>
        </w:numPr>
        <w:ind w:hanging="0" w:left="0"/>
        <w:rPr>
          <w:rFonts w:ascii="Times New Roman" w:hAnsi="Times New Roman"/>
          <w:color w:val="auto"/>
          <w:sz w:val="24"/>
          <w:szCs w:val="24"/>
        </w:rPr>
      </w:pPr>
      <w:r>
        <w:rPr>
          <w:rFonts w:ascii="Times New Roman" w:hAnsi="Times New Roman"/>
          <w:b/>
          <w:bCs/>
          <w:color w:val="auto"/>
          <w:sz w:val="24"/>
          <w:szCs w:val="24"/>
        </w:rPr>
        <w:t xml:space="preserve"> </w:t>
      </w:r>
      <w:r>
        <w:rPr>
          <w:rFonts w:cs="Arial" w:ascii="Times New Roman" w:hAnsi="Times New Roman"/>
          <w:b/>
          <w:bCs/>
          <w:color w:val="000000"/>
          <w:sz w:val="24"/>
          <w:szCs w:val="24"/>
          <w:shd w:fill="auto" w:val="clear"/>
        </w:rPr>
        <w:t>AQUISIÇÃO DE MATERIAL DE CONSTRUÇÃO, CONTRATAÇÃO DE SERVIÇO PARA CONFECÇÃO DE PLACA DE VEÍCULO E CONSERTO DE COMPRESSOR ODONTOLÓGICO</w:t>
      </w:r>
      <w:r>
        <w:rPr>
          <w:rFonts w:ascii="Times New Roman" w:hAnsi="Times New Roman"/>
          <w:b/>
          <w:bCs/>
          <w:color w:val="auto"/>
          <w:sz w:val="24"/>
          <w:szCs w:val="24"/>
        </w:rPr>
        <w:t>,</w:t>
      </w:r>
      <w:r>
        <w:rPr>
          <w:rFonts w:ascii="Times New Roman" w:hAnsi="Times New Roman"/>
          <w:color w:val="auto"/>
          <w:sz w:val="24"/>
          <w:szCs w:val="24"/>
        </w:rPr>
        <w:t xml:space="preserve"> nos termos da tabela abaixo, conforme condições e exigências estabelecidas neste instrumento.</w:t>
      </w:r>
    </w:p>
    <w:p>
      <w:pPr>
        <w:pStyle w:val="Nivel2"/>
        <w:numPr>
          <w:ilvl w:val="0"/>
          <w:numId w:val="0"/>
        </w:numPr>
        <w:ind w:hanging="0" w:left="0"/>
        <w:rPr>
          <w:rFonts w:ascii="Times New Roman" w:hAnsi="Times New Roman"/>
          <w:color w:val="auto"/>
          <w:sz w:val="24"/>
          <w:szCs w:val="24"/>
        </w:rPr>
      </w:pPr>
      <w:r>
        <w:rPr>
          <w:rFonts w:ascii="Times New Roman" w:hAnsi="Times New Roman"/>
          <w:color w:val="auto"/>
          <w:sz w:val="24"/>
          <w:szCs w:val="24"/>
        </w:rPr>
      </w:r>
    </w:p>
    <w:tbl>
      <w:tblPr>
        <w:tblW w:w="10381" w:type="dxa"/>
        <w:jc w:val="left"/>
        <w:tblInd w:w="-512" w:type="dxa"/>
        <w:tblLayout w:type="fixed"/>
        <w:tblCellMar>
          <w:top w:w="55" w:type="dxa"/>
          <w:left w:w="2" w:type="dxa"/>
          <w:bottom w:w="55" w:type="dxa"/>
          <w:right w:w="42" w:type="dxa"/>
        </w:tblCellMar>
      </w:tblPr>
      <w:tblGrid>
        <w:gridCol w:w="697"/>
        <w:gridCol w:w="3131"/>
        <w:gridCol w:w="1115"/>
        <w:gridCol w:w="960"/>
        <w:gridCol w:w="902"/>
        <w:gridCol w:w="1027"/>
        <w:gridCol w:w="1351"/>
        <w:gridCol w:w="1196"/>
      </w:tblGrid>
      <w:tr>
        <w:trPr>
          <w:trHeight w:val="915" w:hRule="atLeast"/>
        </w:trPr>
        <w:tc>
          <w:tcPr>
            <w:tcW w:w="697" w:type="dxa"/>
            <w:tcBorders>
              <w:top w:val="single" w:sz="2" w:space="0" w:color="000001"/>
              <w:left w:val="single" w:sz="2" w:space="0" w:color="000001"/>
              <w:bottom w:val="single" w:sz="2" w:space="0" w:color="000001"/>
            </w:tcBorders>
            <w:vAlign w:val="center"/>
          </w:tcPr>
          <w:p>
            <w:pPr>
              <w:pStyle w:val="Normal"/>
              <w:widowControl w:val="false"/>
              <w:spacing w:lineRule="auto" w:line="240" w:before="0" w:after="0"/>
              <w:jc w:val="center"/>
              <w:rPr>
                <w:rFonts w:ascii="Times New Roman" w:hAnsi="Times New Roman"/>
                <w:sz w:val="24"/>
                <w:szCs w:val="24"/>
              </w:rPr>
            </w:pPr>
            <w:r>
              <w:rPr>
                <w:rFonts w:eastAsia="Times New Roman" w:cs="Arial" w:ascii="Times New Roman" w:hAnsi="Times New Roman"/>
                <w:b/>
                <w:color w:val="000000"/>
                <w:sz w:val="24"/>
                <w:szCs w:val="24"/>
              </w:rPr>
              <w:t>ITEM</w:t>
            </w:r>
          </w:p>
        </w:tc>
        <w:tc>
          <w:tcPr>
            <w:tcW w:w="3131" w:type="dxa"/>
            <w:tcBorders>
              <w:top w:val="single" w:sz="2" w:space="0" w:color="000001"/>
              <w:left w:val="single" w:sz="2" w:space="0" w:color="000001"/>
              <w:bottom w:val="single" w:sz="2" w:space="0" w:color="000001"/>
            </w:tcBorders>
            <w:vAlign w:val="center"/>
          </w:tcPr>
          <w:p>
            <w:pPr>
              <w:pStyle w:val="Normal"/>
              <w:widowControl w:val="false"/>
              <w:spacing w:lineRule="auto" w:line="240" w:before="0" w:after="0"/>
              <w:ind w:hanging="0" w:right="-1"/>
              <w:jc w:val="center"/>
              <w:rPr>
                <w:rFonts w:ascii="Times New Roman" w:hAnsi="Times New Roman"/>
                <w:sz w:val="24"/>
                <w:szCs w:val="24"/>
              </w:rPr>
            </w:pPr>
            <w:r>
              <w:rPr>
                <w:rFonts w:eastAsia="DejaVu Sans" w:cs="Times New Roman" w:ascii="Times New Roman" w:hAnsi="Times New Roman"/>
                <w:b/>
                <w:sz w:val="24"/>
                <w:szCs w:val="24"/>
              </w:rPr>
              <w:t>OBJETO</w:t>
            </w:r>
          </w:p>
        </w:tc>
        <w:tc>
          <w:tcPr>
            <w:tcW w:w="1115" w:type="dxa"/>
            <w:tcBorders>
              <w:top w:val="single" w:sz="2" w:space="0" w:color="000001"/>
              <w:left w:val="single" w:sz="2" w:space="0" w:color="000001"/>
              <w:bottom w:val="single" w:sz="2" w:space="0" w:color="000001"/>
            </w:tcBorders>
            <w:vAlign w:val="center"/>
          </w:tcPr>
          <w:p>
            <w:pPr>
              <w:pStyle w:val="Normal"/>
              <w:widowControl w:val="false"/>
              <w:spacing w:lineRule="auto" w:line="240" w:before="0" w:after="0"/>
              <w:ind w:hanging="0" w:right="-1"/>
              <w:jc w:val="center"/>
              <w:rPr>
                <w:rFonts w:ascii="Times New Roman" w:hAnsi="Times New Roman"/>
                <w:sz w:val="24"/>
                <w:szCs w:val="24"/>
              </w:rPr>
            </w:pPr>
            <w:r>
              <w:rPr>
                <w:rFonts w:eastAsia="DejaVu Sans" w:cs="Times New Roman" w:ascii="Times New Roman" w:hAnsi="Times New Roman"/>
                <w:b/>
                <w:sz w:val="24"/>
                <w:szCs w:val="24"/>
              </w:rPr>
              <w:t>CÓDIGO</w:t>
            </w:r>
          </w:p>
          <w:p>
            <w:pPr>
              <w:pStyle w:val="Normal"/>
              <w:widowControl w:val="false"/>
              <w:spacing w:lineRule="auto" w:line="240" w:before="0" w:after="0"/>
              <w:ind w:hanging="0" w:right="-1"/>
              <w:jc w:val="center"/>
              <w:rPr>
                <w:rFonts w:ascii="Times New Roman" w:hAnsi="Times New Roman"/>
                <w:sz w:val="24"/>
                <w:szCs w:val="24"/>
              </w:rPr>
            </w:pPr>
            <w:r>
              <w:rPr>
                <w:rFonts w:ascii="Times New Roman" w:hAnsi="Times New Roman"/>
                <w:b/>
                <w:sz w:val="24"/>
                <w:szCs w:val="24"/>
              </w:rPr>
              <w:t>CATMAT/CATSER</w:t>
            </w:r>
          </w:p>
        </w:tc>
        <w:tc>
          <w:tcPr>
            <w:tcW w:w="960" w:type="dxa"/>
            <w:tcBorders>
              <w:top w:val="single" w:sz="2" w:space="0" w:color="000001"/>
              <w:left w:val="single" w:sz="2" w:space="0" w:color="000001"/>
              <w:bottom w:val="single" w:sz="2" w:space="0" w:color="000001"/>
            </w:tcBorders>
            <w:vAlign w:val="center"/>
          </w:tcPr>
          <w:p>
            <w:pPr>
              <w:pStyle w:val="Normal"/>
              <w:widowControl w:val="false"/>
              <w:spacing w:lineRule="auto" w:line="240" w:before="0" w:after="0"/>
              <w:ind w:hanging="0" w:right="-1"/>
              <w:jc w:val="center"/>
              <w:rPr>
                <w:rFonts w:ascii="Times New Roman" w:hAnsi="Times New Roman"/>
                <w:sz w:val="24"/>
                <w:szCs w:val="24"/>
              </w:rPr>
            </w:pPr>
            <w:r>
              <w:rPr>
                <w:rFonts w:eastAsia="DejaVu Sans" w:cs="Times New Roman" w:ascii="Times New Roman" w:hAnsi="Times New Roman"/>
                <w:b/>
                <w:sz w:val="24"/>
                <w:szCs w:val="24"/>
              </w:rPr>
              <w:t>UND</w:t>
            </w:r>
          </w:p>
        </w:tc>
        <w:tc>
          <w:tcPr>
            <w:tcW w:w="902" w:type="dxa"/>
            <w:tcBorders>
              <w:top w:val="single" w:sz="2" w:space="0" w:color="000001"/>
              <w:left w:val="single" w:sz="2" w:space="0" w:color="000001"/>
              <w:bottom w:val="single" w:sz="2" w:space="0" w:color="000001"/>
            </w:tcBorders>
            <w:vAlign w:val="center"/>
          </w:tcPr>
          <w:p>
            <w:pPr>
              <w:pStyle w:val="Normal"/>
              <w:widowControl w:val="false"/>
              <w:spacing w:lineRule="auto" w:line="240" w:before="0" w:after="0"/>
              <w:ind w:hanging="0" w:right="-1"/>
              <w:jc w:val="center"/>
              <w:rPr>
                <w:rFonts w:ascii="Times New Roman" w:hAnsi="Times New Roman"/>
                <w:sz w:val="24"/>
                <w:szCs w:val="24"/>
              </w:rPr>
            </w:pPr>
            <w:r>
              <w:rPr>
                <w:rFonts w:eastAsia="DejaVu Sans" w:cs="Times New Roman" w:ascii="Times New Roman" w:hAnsi="Times New Roman"/>
                <w:b/>
                <w:sz w:val="24"/>
                <w:szCs w:val="24"/>
              </w:rPr>
              <w:t>QTD</w:t>
            </w:r>
          </w:p>
          <w:p>
            <w:pPr>
              <w:pStyle w:val="Normal"/>
              <w:widowControl w:val="false"/>
              <w:spacing w:lineRule="auto" w:line="240" w:before="0" w:after="0"/>
              <w:ind w:hanging="0" w:right="-1"/>
              <w:jc w:val="center"/>
              <w:rPr>
                <w:rFonts w:ascii="Times New Roman" w:hAnsi="Times New Roman"/>
                <w:sz w:val="24"/>
                <w:szCs w:val="24"/>
              </w:rPr>
            </w:pPr>
            <w:r>
              <w:rPr>
                <w:rFonts w:eastAsia="DejaVu Sans" w:cs="Times New Roman" w:ascii="Times New Roman" w:hAnsi="Times New Roman"/>
                <w:b/>
                <w:sz w:val="24"/>
                <w:szCs w:val="24"/>
              </w:rPr>
              <w:t>MÁX</w:t>
            </w:r>
          </w:p>
        </w:tc>
        <w:tc>
          <w:tcPr>
            <w:tcW w:w="1027" w:type="dxa"/>
            <w:tcBorders>
              <w:top w:val="single" w:sz="2" w:space="0" w:color="000001"/>
              <w:left w:val="single" w:sz="2" w:space="0" w:color="000001"/>
              <w:bottom w:val="single" w:sz="2" w:space="0" w:color="000001"/>
            </w:tcBorders>
            <w:vAlign w:val="center"/>
          </w:tcPr>
          <w:p>
            <w:pPr>
              <w:pStyle w:val="Normal"/>
              <w:widowControl w:val="false"/>
              <w:spacing w:lineRule="auto" w:line="240" w:before="0" w:after="0"/>
              <w:ind w:hanging="0" w:right="-1"/>
              <w:jc w:val="center"/>
              <w:rPr>
                <w:rFonts w:ascii="Times New Roman" w:hAnsi="Times New Roman" w:eastAsia="DejaVu Sans" w:cs="Times New Roman"/>
                <w:b/>
                <w:sz w:val="24"/>
                <w:szCs w:val="24"/>
              </w:rPr>
            </w:pPr>
            <w:r>
              <w:rPr>
                <w:rFonts w:eastAsia="DejaVu Sans" w:cs="Times New Roman" w:ascii="Times New Roman" w:hAnsi="Times New Roman"/>
                <w:b/>
                <w:sz w:val="24"/>
                <w:szCs w:val="24"/>
              </w:rPr>
              <w:t>QTD</w:t>
            </w:r>
          </w:p>
          <w:p>
            <w:pPr>
              <w:pStyle w:val="Normal"/>
              <w:widowControl w:val="false"/>
              <w:spacing w:lineRule="auto" w:line="240" w:before="0" w:after="0"/>
              <w:ind w:hanging="0" w:right="-1"/>
              <w:jc w:val="center"/>
              <w:rPr>
                <w:rFonts w:ascii="Times New Roman" w:hAnsi="Times New Roman" w:eastAsia="DejaVu Sans" w:cs="Times New Roman"/>
                <w:b/>
                <w:sz w:val="24"/>
                <w:szCs w:val="24"/>
              </w:rPr>
            </w:pPr>
            <w:r>
              <w:rPr>
                <w:rFonts w:eastAsia="DejaVu Sans" w:cs="Times New Roman" w:ascii="Times New Roman" w:hAnsi="Times New Roman"/>
                <w:b/>
                <w:sz w:val="24"/>
                <w:szCs w:val="24"/>
              </w:rPr>
              <w:t>MÍN</w:t>
            </w:r>
          </w:p>
        </w:tc>
        <w:tc>
          <w:tcPr>
            <w:tcW w:w="1351" w:type="dxa"/>
            <w:tcBorders>
              <w:top w:val="single" w:sz="2" w:space="0" w:color="000001"/>
              <w:left w:val="single" w:sz="2" w:space="0" w:color="000001"/>
              <w:bottom w:val="single" w:sz="2" w:space="0" w:color="000001"/>
              <w:right w:val="single" w:sz="2" w:space="0" w:color="000001"/>
            </w:tcBorders>
            <w:vAlign w:val="center"/>
          </w:tcPr>
          <w:p>
            <w:pPr>
              <w:pStyle w:val="Normal"/>
              <w:widowControl w:val="false"/>
              <w:spacing w:lineRule="auto" w:line="240" w:before="0" w:after="0"/>
              <w:ind w:hanging="0" w:right="-1"/>
              <w:jc w:val="center"/>
              <w:rPr>
                <w:rFonts w:ascii="Times New Roman" w:hAnsi="Times New Roman"/>
                <w:sz w:val="24"/>
                <w:szCs w:val="24"/>
              </w:rPr>
            </w:pPr>
            <w:r>
              <w:rPr>
                <w:rFonts w:eastAsia="DejaVu Sans" w:cs="Times New Roman" w:ascii="Times New Roman" w:hAnsi="Times New Roman"/>
                <w:b/>
                <w:sz w:val="24"/>
                <w:szCs w:val="24"/>
              </w:rPr>
              <w:t>VALOR UNIT.</w:t>
            </w:r>
          </w:p>
        </w:tc>
        <w:tc>
          <w:tcPr>
            <w:tcW w:w="1196" w:type="dxa"/>
            <w:tcBorders>
              <w:top w:val="single" w:sz="2" w:space="0" w:color="000001"/>
              <w:left w:val="single" w:sz="2" w:space="0" w:color="000001"/>
              <w:bottom w:val="single" w:sz="2" w:space="0" w:color="000001"/>
              <w:right w:val="single" w:sz="2" w:space="0" w:color="000001"/>
            </w:tcBorders>
            <w:vAlign w:val="center"/>
          </w:tcPr>
          <w:p>
            <w:pPr>
              <w:pStyle w:val="Normal"/>
              <w:widowControl w:val="false"/>
              <w:spacing w:lineRule="auto" w:line="240" w:before="0" w:after="0"/>
              <w:ind w:hanging="0" w:right="-1"/>
              <w:jc w:val="center"/>
              <w:rPr>
                <w:rFonts w:ascii="Times New Roman" w:hAnsi="Times New Roman"/>
                <w:sz w:val="24"/>
                <w:szCs w:val="24"/>
              </w:rPr>
            </w:pPr>
            <w:r>
              <w:rPr>
                <w:rFonts w:eastAsia="DejaVu Sans" w:cs="Times New Roman" w:ascii="Times New Roman" w:hAnsi="Times New Roman"/>
                <w:b/>
                <w:sz w:val="24"/>
                <w:szCs w:val="24"/>
              </w:rPr>
              <w:t>VALOR TOTAL</w:t>
            </w:r>
          </w:p>
        </w:tc>
      </w:tr>
      <w:tr>
        <w:trPr>
          <w:trHeight w:val="648" w:hRule="atLeast"/>
        </w:trPr>
        <w:tc>
          <w:tcPr>
            <w:tcW w:w="697" w:type="dxa"/>
            <w:tcBorders>
              <w:top w:val="single" w:sz="2" w:space="0" w:color="000001"/>
              <w:left w:val="single" w:sz="2" w:space="0" w:color="000001"/>
              <w:bottom w:val="single" w:sz="2" w:space="0" w:color="000001"/>
            </w:tcBorders>
            <w:vAlign w:val="center"/>
          </w:tcPr>
          <w:p>
            <w:pPr>
              <w:pStyle w:val="Normal"/>
              <w:widowControl w:val="false"/>
              <w:spacing w:lineRule="auto" w:line="240" w:before="0" w:after="0"/>
              <w:jc w:val="center"/>
              <w:rPr>
                <w:rFonts w:ascii="Times New Roman" w:hAnsi="Times New Roman"/>
                <w:sz w:val="24"/>
                <w:szCs w:val="24"/>
              </w:rPr>
            </w:pPr>
            <w:r>
              <w:rPr>
                <w:rFonts w:ascii="Times New Roman" w:hAnsi="Times New Roman"/>
                <w:color w:val="000000"/>
                <w:sz w:val="24"/>
                <w:szCs w:val="24"/>
              </w:rPr>
              <w:t>01</w:t>
            </w:r>
          </w:p>
        </w:tc>
        <w:tc>
          <w:tcPr>
            <w:tcW w:w="3131" w:type="dxa"/>
            <w:tcBorders>
              <w:top w:val="single" w:sz="2" w:space="0" w:color="000001"/>
              <w:left w:val="single" w:sz="2" w:space="0" w:color="000001"/>
              <w:bottom w:val="single" w:sz="2" w:space="0" w:color="000001"/>
            </w:tcBorders>
            <w:vAlign w:val="center"/>
          </w:tcPr>
          <w:p>
            <w:pPr>
              <w:pStyle w:val="BodyText"/>
              <w:widowControl w:val="false"/>
              <w:spacing w:lineRule="auto" w:line="240" w:before="0" w:after="0"/>
              <w:jc w:val="both"/>
              <w:rPr/>
            </w:pPr>
            <w:r>
              <w:rPr>
                <w:sz w:val="24"/>
                <w:szCs w:val="24"/>
              </w:rPr>
              <w:t>Arame farpado, material/; aço, bitola: 16 bwg, comprimento: 500 m, peso: 20,70 kg, diâmetro: 1,60 mm, carga de ruptura: 350kgf, tratamento superficial: galvanizado.</w:t>
            </w:r>
          </w:p>
        </w:tc>
        <w:tc>
          <w:tcPr>
            <w:tcW w:w="1115" w:type="dxa"/>
            <w:tcBorders>
              <w:top w:val="single" w:sz="2" w:space="0" w:color="000001"/>
              <w:left w:val="single" w:sz="2" w:space="0" w:color="000001"/>
              <w:bottom w:val="single" w:sz="2" w:space="0" w:color="000001"/>
            </w:tcBorders>
            <w:vAlign w:val="center"/>
          </w:tcPr>
          <w:p>
            <w:pPr>
              <w:pStyle w:val="Normal"/>
              <w:widowControl w:val="false"/>
              <w:spacing w:lineRule="auto" w:line="240" w:before="0" w:after="0"/>
              <w:ind w:hanging="0" w:right="-1"/>
              <w:jc w:val="center"/>
              <w:rPr>
                <w:rFonts w:ascii="Times New Roman" w:hAnsi="Times New Roman" w:eastAsia="DejaVu Sans" w:cs="Times New Roman"/>
                <w:b/>
                <w:sz w:val="24"/>
                <w:szCs w:val="24"/>
              </w:rPr>
            </w:pPr>
            <w:r>
              <w:rPr>
                <w:rFonts w:eastAsia="DejaVu Sans" w:cs="Times New Roman" w:ascii="Times New Roman" w:hAnsi="Times New Roman"/>
                <w:b w:val="false"/>
                <w:bCs w:val="false"/>
                <w:sz w:val="24"/>
                <w:szCs w:val="24"/>
              </w:rPr>
              <w:t>233561</w:t>
            </w:r>
          </w:p>
        </w:tc>
        <w:tc>
          <w:tcPr>
            <w:tcW w:w="960" w:type="dxa"/>
            <w:tcBorders>
              <w:top w:val="single" w:sz="2" w:space="0" w:color="000001"/>
              <w:left w:val="single" w:sz="2" w:space="0" w:color="000001"/>
              <w:bottom w:val="single" w:sz="2" w:space="0" w:color="000001"/>
            </w:tcBorders>
          </w:tcPr>
          <w:p>
            <w:pPr>
              <w:pStyle w:val="Normal"/>
              <w:spacing w:lineRule="auto" w:line="240" w:before="0" w:after="0"/>
              <w:jc w:val="center"/>
              <w:rPr>
                <w:rFonts w:ascii="Times New Roman" w:hAnsi="Times New Roman"/>
                <w:sz w:val="24"/>
                <w:szCs w:val="24"/>
              </w:rPr>
            </w:pPr>
            <w:r>
              <w:rPr>
                <w:rFonts w:eastAsia="Times New Roman" w:cs="Times New Roman" w:ascii="Times New Roman" w:hAnsi="Times New Roman"/>
                <w:color w:val="000000"/>
                <w:sz w:val="24"/>
                <w:szCs w:val="24"/>
                <w:lang w:eastAsia="pt-BR"/>
              </w:rPr>
              <w:t>Rolo 500 m</w:t>
            </w:r>
          </w:p>
        </w:tc>
        <w:tc>
          <w:tcPr>
            <w:tcW w:w="902" w:type="dxa"/>
            <w:tcBorders>
              <w:top w:val="single" w:sz="2" w:space="0" w:color="000001"/>
              <w:left w:val="single" w:sz="2" w:space="0" w:color="000001"/>
              <w:bottom w:val="single" w:sz="2" w:space="0" w:color="000001"/>
            </w:tcBorders>
            <w:vAlign w:val="center"/>
          </w:tcPr>
          <w:p>
            <w:pPr>
              <w:pStyle w:val="Normal"/>
              <w:widowControl w:val="false"/>
              <w:spacing w:lineRule="auto" w:line="240" w:before="0" w:after="0"/>
              <w:jc w:val="center"/>
              <w:rPr>
                <w:sz w:val="20"/>
                <w:szCs w:val="20"/>
              </w:rPr>
            </w:pPr>
            <w:r>
              <w:rPr>
                <w:sz w:val="20"/>
                <w:szCs w:val="20"/>
              </w:rPr>
              <w:t>1</w:t>
            </w:r>
          </w:p>
        </w:tc>
        <w:tc>
          <w:tcPr>
            <w:tcW w:w="1027" w:type="dxa"/>
            <w:tcBorders>
              <w:top w:val="single" w:sz="2" w:space="0" w:color="000001"/>
              <w:left w:val="single" w:sz="2" w:space="0" w:color="000001"/>
              <w:bottom w:val="single" w:sz="2" w:space="0" w:color="000001"/>
            </w:tcBorders>
            <w:vAlign w:val="center"/>
          </w:tcPr>
          <w:p>
            <w:pPr>
              <w:pStyle w:val="Normal"/>
              <w:widowControl w:val="false"/>
              <w:spacing w:lineRule="auto" w:line="240" w:before="0" w:after="0"/>
              <w:jc w:val="center"/>
              <w:rPr>
                <w:sz w:val="20"/>
                <w:szCs w:val="20"/>
              </w:rPr>
            </w:pPr>
            <w:r>
              <w:rPr>
                <w:sz w:val="20"/>
                <w:szCs w:val="20"/>
              </w:rPr>
              <w:t>1</w:t>
            </w:r>
          </w:p>
        </w:tc>
        <w:tc>
          <w:tcPr>
            <w:tcW w:w="1351" w:type="dxa"/>
            <w:tcBorders>
              <w:top w:val="single" w:sz="2" w:space="0" w:color="000001"/>
              <w:left w:val="single" w:sz="2" w:space="0" w:color="000001"/>
              <w:bottom w:val="single" w:sz="2" w:space="0" w:color="000001"/>
              <w:right w:val="single" w:sz="2" w:space="0" w:color="000001"/>
            </w:tcBorders>
            <w:vAlign w:val="center"/>
          </w:tcPr>
          <w:p>
            <w:pPr>
              <w:pStyle w:val="Contedodatabela"/>
              <w:spacing w:lineRule="auto" w:line="240" w:before="0" w:after="0"/>
              <w:jc w:val="center"/>
              <w:rPr>
                <w:color w:val="000000"/>
              </w:rPr>
            </w:pPr>
            <w:r>
              <w:rPr>
                <w:rFonts w:ascii="Times New Roman" w:hAnsi="Times New Roman"/>
                <w:color w:val="000000"/>
                <w:sz w:val="24"/>
                <w:szCs w:val="24"/>
              </w:rPr>
              <w:t>426,79</w:t>
            </w:r>
          </w:p>
        </w:tc>
        <w:tc>
          <w:tcPr>
            <w:tcW w:w="1196" w:type="dxa"/>
            <w:tcBorders>
              <w:top w:val="single" w:sz="2" w:space="0" w:color="000001"/>
              <w:left w:val="single" w:sz="2" w:space="0" w:color="000001"/>
              <w:bottom w:val="single" w:sz="2" w:space="0" w:color="000001"/>
              <w:right w:val="single" w:sz="2" w:space="0" w:color="000001"/>
            </w:tcBorders>
            <w:vAlign w:val="center"/>
          </w:tcPr>
          <w:p>
            <w:pPr>
              <w:pStyle w:val="Contedodatabela"/>
              <w:spacing w:lineRule="auto" w:line="240" w:before="0" w:after="0"/>
              <w:jc w:val="center"/>
              <w:rPr>
                <w:rFonts w:ascii="Times New Roman" w:hAnsi="Times New Roman"/>
                <w:sz w:val="24"/>
                <w:szCs w:val="24"/>
              </w:rPr>
            </w:pPr>
            <w:r>
              <w:rPr/>
              <w:fldChar w:fldCharType="begin"/>
            </w:r>
            <w:r>
              <w:rPr/>
              <w:instrText xml:space="preserve"> =E2*G2</w:instrText>
            </w:r>
            <w:r>
              <w:rPr/>
              <w:fldChar w:fldCharType="separate"/>
            </w:r>
            <w:r>
              <w:rPr/>
              <w:t>426,79</w:t>
            </w:r>
            <w:r>
              <w:rPr/>
              <w:fldChar w:fldCharType="end"/>
            </w:r>
          </w:p>
        </w:tc>
      </w:tr>
      <w:tr>
        <w:trPr>
          <w:trHeight w:val="648" w:hRule="atLeast"/>
        </w:trPr>
        <w:tc>
          <w:tcPr>
            <w:tcW w:w="697" w:type="dxa"/>
            <w:tcBorders>
              <w:left w:val="single" w:sz="2" w:space="0" w:color="000001"/>
              <w:bottom w:val="single" w:sz="2" w:space="0" w:color="000001"/>
            </w:tcBorders>
            <w:vAlign w:val="cente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02</w:t>
            </w:r>
          </w:p>
        </w:tc>
        <w:tc>
          <w:tcPr>
            <w:tcW w:w="3131" w:type="dxa"/>
            <w:tcBorders>
              <w:left w:val="single" w:sz="2" w:space="0" w:color="000001"/>
              <w:bottom w:val="single" w:sz="2" w:space="0" w:color="000001"/>
            </w:tcBorders>
            <w:vAlign w:val="center"/>
          </w:tcPr>
          <w:p>
            <w:pPr>
              <w:pStyle w:val="BodyText"/>
              <w:widowControl w:val="false"/>
              <w:spacing w:lineRule="auto" w:line="240" w:before="0" w:after="0"/>
              <w:jc w:val="both"/>
              <w:rPr/>
            </w:pPr>
            <w:r>
              <w:rPr/>
              <w:t>Arame, material: cobre recozido, bitola: 1,47 mm</w:t>
            </w:r>
          </w:p>
        </w:tc>
        <w:tc>
          <w:tcPr>
            <w:tcW w:w="1115" w:type="dxa"/>
            <w:tcBorders>
              <w:left w:val="single" w:sz="2" w:space="0" w:color="000001"/>
              <w:bottom w:val="single" w:sz="2" w:space="0" w:color="000001"/>
            </w:tcBorders>
            <w:vAlign w:val="center"/>
          </w:tcPr>
          <w:p>
            <w:pPr>
              <w:pStyle w:val="Normal"/>
              <w:widowControl w:val="false"/>
              <w:spacing w:lineRule="auto" w:line="240" w:before="0" w:after="0"/>
              <w:ind w:hanging="0" w:right="-1"/>
              <w:jc w:val="center"/>
              <w:rPr>
                <w:rFonts w:ascii="Times New Roman" w:hAnsi="Times New Roman" w:eastAsia="DejaVu Sans" w:cs="Times New Roman"/>
                <w:b/>
                <w:sz w:val="24"/>
                <w:szCs w:val="24"/>
              </w:rPr>
            </w:pPr>
            <w:r>
              <w:rPr>
                <w:rFonts w:eastAsia="DejaVu Sans" w:cs="Times New Roman" w:ascii="Times New Roman" w:hAnsi="Times New Roman"/>
                <w:b/>
                <w:sz w:val="24"/>
                <w:szCs w:val="24"/>
              </w:rPr>
              <w:t>310137</w:t>
            </w:r>
          </w:p>
        </w:tc>
        <w:tc>
          <w:tcPr>
            <w:tcW w:w="960" w:type="dxa"/>
            <w:tcBorders>
              <w:left w:val="single" w:sz="2" w:space="0" w:color="000001"/>
              <w:bottom w:val="single" w:sz="2" w:space="0" w:color="000001"/>
            </w:tcBorders>
          </w:tcPr>
          <w:p>
            <w:pPr>
              <w:pStyle w:val="Normal"/>
              <w:spacing w:lineRule="auto" w:line="240" w:before="0" w:after="0"/>
              <w:jc w:val="center"/>
              <w:rPr>
                <w:rFonts w:ascii="Times New Roman" w:hAnsi="Times New Roman"/>
                <w:sz w:val="24"/>
                <w:szCs w:val="24"/>
              </w:rPr>
            </w:pPr>
            <w:r>
              <w:rPr>
                <w:rFonts w:ascii="Times New Roman" w:hAnsi="Times New Roman"/>
                <w:sz w:val="24"/>
                <w:szCs w:val="24"/>
              </w:rPr>
              <w:t>Kg</w:t>
            </w:r>
          </w:p>
        </w:tc>
        <w:tc>
          <w:tcPr>
            <w:tcW w:w="902" w:type="dxa"/>
            <w:tcBorders>
              <w:left w:val="single" w:sz="2" w:space="0" w:color="000001"/>
              <w:bottom w:val="single" w:sz="2" w:space="0" w:color="000001"/>
            </w:tcBorders>
            <w:vAlign w:val="center"/>
          </w:tcPr>
          <w:p>
            <w:pPr>
              <w:pStyle w:val="Normal"/>
              <w:widowControl w:val="false"/>
              <w:spacing w:lineRule="auto" w:line="240" w:before="0" w:after="0"/>
              <w:jc w:val="center"/>
              <w:rPr>
                <w:sz w:val="20"/>
                <w:szCs w:val="20"/>
              </w:rPr>
            </w:pPr>
            <w:r>
              <w:rPr>
                <w:sz w:val="20"/>
                <w:szCs w:val="20"/>
              </w:rPr>
              <w:t>14</w:t>
            </w:r>
          </w:p>
        </w:tc>
        <w:tc>
          <w:tcPr>
            <w:tcW w:w="1027" w:type="dxa"/>
            <w:tcBorders>
              <w:left w:val="single" w:sz="2" w:space="0" w:color="000001"/>
              <w:bottom w:val="single" w:sz="2" w:space="0" w:color="000001"/>
            </w:tcBorders>
            <w:vAlign w:val="center"/>
          </w:tcPr>
          <w:p>
            <w:pPr>
              <w:pStyle w:val="Normal"/>
              <w:widowControl w:val="false"/>
              <w:spacing w:lineRule="auto" w:line="240" w:before="0" w:after="0"/>
              <w:jc w:val="center"/>
              <w:rPr>
                <w:sz w:val="20"/>
                <w:szCs w:val="20"/>
              </w:rPr>
            </w:pPr>
            <w:r>
              <w:rPr>
                <w:sz w:val="20"/>
                <w:szCs w:val="20"/>
              </w:rPr>
              <w:t>2</w:t>
            </w:r>
          </w:p>
        </w:tc>
        <w:tc>
          <w:tcPr>
            <w:tcW w:w="1351" w:type="dxa"/>
            <w:tcBorders>
              <w:left w:val="single" w:sz="2" w:space="0" w:color="000001"/>
              <w:bottom w:val="single" w:sz="2" w:space="0" w:color="000001"/>
              <w:right w:val="single" w:sz="2" w:space="0" w:color="000001"/>
            </w:tcBorders>
            <w:vAlign w:val="center"/>
          </w:tcPr>
          <w:p>
            <w:pPr>
              <w:pStyle w:val="Contedodatabela"/>
              <w:spacing w:lineRule="auto" w:line="240" w:before="0" w:after="0"/>
              <w:jc w:val="center"/>
              <w:rPr>
                <w:color w:val="000000"/>
              </w:rPr>
            </w:pPr>
            <w:r>
              <w:rPr>
                <w:color w:val="000000"/>
              </w:rPr>
              <w:t>22,33</w:t>
            </w:r>
          </w:p>
        </w:tc>
        <w:tc>
          <w:tcPr>
            <w:tcW w:w="1196" w:type="dxa"/>
            <w:tcBorders>
              <w:left w:val="single" w:sz="2" w:space="0" w:color="000001"/>
              <w:bottom w:val="single" w:sz="2" w:space="0" w:color="000001"/>
              <w:right w:val="single" w:sz="2" w:space="0" w:color="000001"/>
            </w:tcBorders>
            <w:vAlign w:val="center"/>
          </w:tcPr>
          <w:p>
            <w:pPr>
              <w:pStyle w:val="Contedodatabela"/>
              <w:spacing w:lineRule="auto" w:line="240" w:before="0" w:after="0"/>
              <w:jc w:val="center"/>
              <w:rPr>
                <w:rFonts w:ascii="Times New Roman" w:hAnsi="Times New Roman"/>
                <w:sz w:val="24"/>
                <w:szCs w:val="24"/>
              </w:rPr>
            </w:pPr>
            <w:r>
              <w:rPr/>
              <w:fldChar w:fldCharType="begin"/>
            </w:r>
            <w:r>
              <w:rPr/>
              <w:instrText xml:space="preserve"> =E3*G3</w:instrText>
            </w:r>
            <w:r>
              <w:rPr/>
              <w:fldChar w:fldCharType="separate"/>
            </w:r>
            <w:r>
              <w:rPr/>
              <w:t>312,62</w:t>
            </w:r>
            <w:r>
              <w:rPr/>
              <w:fldChar w:fldCharType="end"/>
            </w:r>
          </w:p>
        </w:tc>
      </w:tr>
      <w:tr>
        <w:trPr>
          <w:trHeight w:val="648" w:hRule="atLeast"/>
        </w:trPr>
        <w:tc>
          <w:tcPr>
            <w:tcW w:w="697" w:type="dxa"/>
            <w:tcBorders>
              <w:left w:val="single" w:sz="2" w:space="0" w:color="000001"/>
              <w:bottom w:val="single" w:sz="2" w:space="0" w:color="000001"/>
            </w:tcBorders>
            <w:vAlign w:val="cente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03</w:t>
            </w:r>
          </w:p>
        </w:tc>
        <w:tc>
          <w:tcPr>
            <w:tcW w:w="3131" w:type="dxa"/>
            <w:tcBorders>
              <w:left w:val="single" w:sz="2" w:space="0" w:color="000001"/>
              <w:bottom w:val="single" w:sz="2" w:space="0" w:color="000001"/>
            </w:tcBorders>
            <w:vAlign w:val="center"/>
          </w:tcPr>
          <w:p>
            <w:pPr>
              <w:pStyle w:val="BodyText"/>
              <w:widowControl w:val="false"/>
              <w:spacing w:lineRule="auto" w:line="240" w:before="0" w:after="0"/>
              <w:jc w:val="both"/>
              <w:rPr/>
            </w:pPr>
            <w:r>
              <w:rPr/>
              <w:t>Eletrodo solda, material indicado; aço inoxidável, forma: vareta, tipo corrente: alternada direta, diâmetro: 2 mm, comprimento: 300mm, características adicionais: manganês, cromo, niquel e molibdênio.</w:t>
            </w:r>
          </w:p>
        </w:tc>
        <w:tc>
          <w:tcPr>
            <w:tcW w:w="1115" w:type="dxa"/>
            <w:tcBorders>
              <w:left w:val="single" w:sz="2" w:space="0" w:color="000001"/>
              <w:bottom w:val="single" w:sz="2" w:space="0" w:color="000001"/>
            </w:tcBorders>
            <w:vAlign w:val="center"/>
          </w:tcPr>
          <w:p>
            <w:pPr>
              <w:pStyle w:val="Normal"/>
              <w:widowControl w:val="false"/>
              <w:spacing w:lineRule="auto" w:line="240" w:before="0" w:after="0"/>
              <w:ind w:hanging="0" w:right="-1"/>
              <w:jc w:val="center"/>
              <w:rPr>
                <w:rFonts w:ascii="Times New Roman" w:hAnsi="Times New Roman" w:eastAsia="DejaVu Sans" w:cs="Times New Roman"/>
                <w:b/>
                <w:sz w:val="24"/>
                <w:szCs w:val="24"/>
              </w:rPr>
            </w:pPr>
            <w:r>
              <w:rPr>
                <w:rFonts w:eastAsia="DejaVu Sans" w:cs="Times New Roman" w:ascii="Times New Roman" w:hAnsi="Times New Roman"/>
                <w:b/>
                <w:sz w:val="24"/>
                <w:szCs w:val="24"/>
              </w:rPr>
              <w:t>484437</w:t>
            </w:r>
          </w:p>
        </w:tc>
        <w:tc>
          <w:tcPr>
            <w:tcW w:w="960" w:type="dxa"/>
            <w:tcBorders>
              <w:left w:val="single" w:sz="2" w:space="0" w:color="000001"/>
              <w:bottom w:val="single" w:sz="2" w:space="0" w:color="000001"/>
            </w:tcBorders>
          </w:tcPr>
          <w:p>
            <w:pPr>
              <w:pStyle w:val="Normal"/>
              <w:spacing w:lineRule="auto" w:line="240" w:before="0" w:after="0"/>
              <w:jc w:val="center"/>
              <w:rPr>
                <w:rFonts w:ascii="Times New Roman" w:hAnsi="Times New Roman"/>
                <w:sz w:val="24"/>
                <w:szCs w:val="24"/>
              </w:rPr>
            </w:pPr>
            <w:r>
              <w:rPr>
                <w:rFonts w:ascii="Times New Roman" w:hAnsi="Times New Roman"/>
                <w:sz w:val="24"/>
                <w:szCs w:val="24"/>
              </w:rPr>
              <w:t>Kg</w:t>
            </w:r>
          </w:p>
        </w:tc>
        <w:tc>
          <w:tcPr>
            <w:tcW w:w="902" w:type="dxa"/>
            <w:tcBorders>
              <w:left w:val="single" w:sz="2" w:space="0" w:color="000001"/>
              <w:bottom w:val="single" w:sz="2" w:space="0" w:color="000001"/>
            </w:tcBorders>
            <w:vAlign w:val="center"/>
          </w:tcPr>
          <w:p>
            <w:pPr>
              <w:pStyle w:val="Normal"/>
              <w:widowControl w:val="false"/>
              <w:spacing w:lineRule="auto" w:line="240" w:before="0" w:after="0"/>
              <w:jc w:val="center"/>
              <w:rPr>
                <w:sz w:val="20"/>
                <w:szCs w:val="20"/>
              </w:rPr>
            </w:pPr>
            <w:r>
              <w:rPr>
                <w:sz w:val="20"/>
                <w:szCs w:val="20"/>
              </w:rPr>
              <w:t>3</w:t>
            </w:r>
          </w:p>
        </w:tc>
        <w:tc>
          <w:tcPr>
            <w:tcW w:w="1027" w:type="dxa"/>
            <w:tcBorders>
              <w:left w:val="single" w:sz="2" w:space="0" w:color="000001"/>
              <w:bottom w:val="single" w:sz="2" w:space="0" w:color="000001"/>
            </w:tcBorders>
            <w:vAlign w:val="center"/>
          </w:tcPr>
          <w:p>
            <w:pPr>
              <w:pStyle w:val="Normal"/>
              <w:widowControl w:val="false"/>
              <w:spacing w:lineRule="auto" w:line="240" w:before="0" w:after="0"/>
              <w:jc w:val="center"/>
              <w:rPr>
                <w:sz w:val="20"/>
                <w:szCs w:val="20"/>
              </w:rPr>
            </w:pPr>
            <w:r>
              <w:rPr>
                <w:sz w:val="20"/>
                <w:szCs w:val="20"/>
              </w:rPr>
              <w:t>2</w:t>
            </w:r>
          </w:p>
        </w:tc>
        <w:tc>
          <w:tcPr>
            <w:tcW w:w="1351" w:type="dxa"/>
            <w:tcBorders>
              <w:left w:val="single" w:sz="2" w:space="0" w:color="000001"/>
              <w:bottom w:val="single" w:sz="2" w:space="0" w:color="000001"/>
              <w:right w:val="single" w:sz="2" w:space="0" w:color="000001"/>
            </w:tcBorders>
            <w:vAlign w:val="center"/>
          </w:tcPr>
          <w:p>
            <w:pPr>
              <w:pStyle w:val="Contedodatabela"/>
              <w:spacing w:lineRule="auto" w:line="240" w:before="0" w:after="0"/>
              <w:jc w:val="center"/>
              <w:rPr>
                <w:color w:val="000000"/>
              </w:rPr>
            </w:pPr>
            <w:r>
              <w:rPr>
                <w:color w:val="000000"/>
              </w:rPr>
              <w:t>61,38</w:t>
            </w:r>
          </w:p>
        </w:tc>
        <w:tc>
          <w:tcPr>
            <w:tcW w:w="1196" w:type="dxa"/>
            <w:tcBorders>
              <w:left w:val="single" w:sz="2" w:space="0" w:color="000001"/>
              <w:bottom w:val="single" w:sz="2" w:space="0" w:color="000001"/>
              <w:right w:val="single" w:sz="2" w:space="0" w:color="000001"/>
            </w:tcBorders>
            <w:vAlign w:val="center"/>
          </w:tcPr>
          <w:p>
            <w:pPr>
              <w:pStyle w:val="Contedodatabela"/>
              <w:spacing w:lineRule="auto" w:line="240" w:before="0" w:after="0"/>
              <w:jc w:val="center"/>
              <w:rPr>
                <w:rFonts w:ascii="Times New Roman" w:hAnsi="Times New Roman"/>
                <w:sz w:val="24"/>
                <w:szCs w:val="24"/>
              </w:rPr>
            </w:pPr>
            <w:r>
              <w:rPr/>
              <w:fldChar w:fldCharType="begin"/>
            </w:r>
            <w:r>
              <w:rPr/>
              <w:instrText xml:space="preserve"> =E4*G4</w:instrText>
            </w:r>
            <w:r>
              <w:rPr/>
              <w:fldChar w:fldCharType="separate"/>
            </w:r>
            <w:r>
              <w:rPr/>
              <w:t>184,14</w:t>
            </w:r>
            <w:r>
              <w:rPr/>
              <w:fldChar w:fldCharType="end"/>
            </w:r>
          </w:p>
        </w:tc>
      </w:tr>
      <w:tr>
        <w:trPr>
          <w:trHeight w:val="648" w:hRule="atLeast"/>
        </w:trPr>
        <w:tc>
          <w:tcPr>
            <w:tcW w:w="697" w:type="dxa"/>
            <w:tcBorders>
              <w:left w:val="single" w:sz="2" w:space="0" w:color="000001"/>
              <w:bottom w:val="single" w:sz="2" w:space="0" w:color="000001"/>
            </w:tcBorders>
            <w:vAlign w:val="cente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04</w:t>
            </w:r>
          </w:p>
        </w:tc>
        <w:tc>
          <w:tcPr>
            <w:tcW w:w="3131" w:type="dxa"/>
            <w:tcBorders>
              <w:left w:val="single" w:sz="2" w:space="0" w:color="000001"/>
              <w:bottom w:val="single" w:sz="2" w:space="0" w:color="000001"/>
            </w:tcBorders>
            <w:vAlign w:val="center"/>
          </w:tcPr>
          <w:p>
            <w:pPr>
              <w:pStyle w:val="BodyText"/>
              <w:widowControl w:val="false"/>
              <w:spacing w:lineRule="auto" w:line="240" w:before="0" w:after="0"/>
              <w:jc w:val="both"/>
              <w:rPr/>
            </w:pPr>
            <w:r>
              <w:rPr/>
              <w:t>Tinta acrílica, componente: água, resina acrílica pigmentos orgânicos e inorgânico, aspectos físico: líquido viscoso colorido, cor: azul, prazo de validade: 24 meses, aplicação: pisos em geral.</w:t>
            </w:r>
          </w:p>
        </w:tc>
        <w:tc>
          <w:tcPr>
            <w:tcW w:w="1115" w:type="dxa"/>
            <w:tcBorders>
              <w:left w:val="single" w:sz="2" w:space="0" w:color="000001"/>
              <w:bottom w:val="single" w:sz="2" w:space="0" w:color="000001"/>
            </w:tcBorders>
            <w:vAlign w:val="center"/>
          </w:tcPr>
          <w:p>
            <w:pPr>
              <w:pStyle w:val="Normal"/>
              <w:widowControl w:val="false"/>
              <w:spacing w:lineRule="auto" w:line="240" w:before="0" w:after="0"/>
              <w:ind w:hanging="0" w:right="-1"/>
              <w:jc w:val="center"/>
              <w:rPr>
                <w:rFonts w:ascii="Times New Roman" w:hAnsi="Times New Roman" w:eastAsia="DejaVu Sans" w:cs="Times New Roman"/>
                <w:b/>
                <w:sz w:val="24"/>
                <w:szCs w:val="24"/>
              </w:rPr>
            </w:pPr>
            <w:r>
              <w:rPr>
                <w:rFonts w:eastAsia="DejaVu Sans" w:cs="Times New Roman" w:ascii="Times New Roman" w:hAnsi="Times New Roman"/>
                <w:b/>
                <w:sz w:val="24"/>
                <w:szCs w:val="24"/>
              </w:rPr>
              <w:t>301781</w:t>
            </w:r>
          </w:p>
        </w:tc>
        <w:tc>
          <w:tcPr>
            <w:tcW w:w="960" w:type="dxa"/>
            <w:tcBorders>
              <w:left w:val="single" w:sz="2" w:space="0" w:color="000001"/>
              <w:bottom w:val="single" w:sz="2" w:space="0" w:color="000001"/>
            </w:tcBorders>
          </w:tcPr>
          <w:p>
            <w:pPr>
              <w:pStyle w:val="Normal"/>
              <w:spacing w:lineRule="auto" w:line="240" w:before="0" w:after="0"/>
              <w:jc w:val="center"/>
              <w:rPr>
                <w:rFonts w:ascii="Times New Roman" w:hAnsi="Times New Roman"/>
                <w:sz w:val="24"/>
                <w:szCs w:val="24"/>
              </w:rPr>
            </w:pPr>
            <w:r>
              <w:rPr>
                <w:rFonts w:ascii="Times New Roman" w:hAnsi="Times New Roman"/>
                <w:sz w:val="24"/>
                <w:szCs w:val="24"/>
              </w:rPr>
              <w:t>Lata 18 l</w:t>
            </w:r>
          </w:p>
        </w:tc>
        <w:tc>
          <w:tcPr>
            <w:tcW w:w="902" w:type="dxa"/>
            <w:tcBorders>
              <w:left w:val="single" w:sz="2" w:space="0" w:color="000001"/>
              <w:bottom w:val="single" w:sz="2" w:space="0" w:color="000001"/>
            </w:tcBorders>
            <w:vAlign w:val="center"/>
          </w:tcPr>
          <w:p>
            <w:pPr>
              <w:pStyle w:val="Normal"/>
              <w:widowControl w:val="false"/>
              <w:spacing w:lineRule="auto" w:line="240" w:before="0" w:after="0"/>
              <w:jc w:val="center"/>
              <w:rPr>
                <w:sz w:val="20"/>
                <w:szCs w:val="20"/>
              </w:rPr>
            </w:pPr>
            <w:r>
              <w:rPr>
                <w:sz w:val="20"/>
                <w:szCs w:val="20"/>
              </w:rPr>
              <w:t>2</w:t>
            </w:r>
          </w:p>
        </w:tc>
        <w:tc>
          <w:tcPr>
            <w:tcW w:w="1027" w:type="dxa"/>
            <w:tcBorders>
              <w:left w:val="single" w:sz="2" w:space="0" w:color="000001"/>
              <w:bottom w:val="single" w:sz="2" w:space="0" w:color="000001"/>
            </w:tcBorders>
            <w:vAlign w:val="center"/>
          </w:tcPr>
          <w:p>
            <w:pPr>
              <w:pStyle w:val="Normal"/>
              <w:widowControl w:val="false"/>
              <w:spacing w:lineRule="auto" w:line="240" w:before="0" w:after="0"/>
              <w:jc w:val="center"/>
              <w:rPr>
                <w:sz w:val="20"/>
                <w:szCs w:val="20"/>
              </w:rPr>
            </w:pPr>
            <w:r>
              <w:rPr>
                <w:sz w:val="20"/>
                <w:szCs w:val="20"/>
              </w:rPr>
              <w:t>1</w:t>
            </w:r>
          </w:p>
        </w:tc>
        <w:tc>
          <w:tcPr>
            <w:tcW w:w="1351" w:type="dxa"/>
            <w:tcBorders>
              <w:left w:val="single" w:sz="2" w:space="0" w:color="000001"/>
              <w:bottom w:val="single" w:sz="2" w:space="0" w:color="000001"/>
              <w:right w:val="single" w:sz="2" w:space="0" w:color="000001"/>
            </w:tcBorders>
            <w:vAlign w:val="center"/>
          </w:tcPr>
          <w:p>
            <w:pPr>
              <w:pStyle w:val="Contedodatabela"/>
              <w:spacing w:lineRule="auto" w:line="240" w:before="0" w:after="0"/>
              <w:jc w:val="center"/>
              <w:rPr>
                <w:color w:val="000000"/>
              </w:rPr>
            </w:pPr>
            <w:r>
              <w:rPr>
                <w:color w:val="000000"/>
              </w:rPr>
              <w:t>181,64</w:t>
            </w:r>
          </w:p>
        </w:tc>
        <w:tc>
          <w:tcPr>
            <w:tcW w:w="1196" w:type="dxa"/>
            <w:tcBorders>
              <w:left w:val="single" w:sz="2" w:space="0" w:color="000001"/>
              <w:bottom w:val="single" w:sz="2" w:space="0" w:color="000001"/>
              <w:right w:val="single" w:sz="2" w:space="0" w:color="000001"/>
            </w:tcBorders>
            <w:vAlign w:val="center"/>
          </w:tcPr>
          <w:p>
            <w:pPr>
              <w:pStyle w:val="Contedodatabela"/>
              <w:spacing w:lineRule="auto" w:line="240" w:before="0" w:after="0"/>
              <w:jc w:val="center"/>
              <w:rPr>
                <w:rFonts w:ascii="Times New Roman" w:hAnsi="Times New Roman"/>
                <w:sz w:val="24"/>
                <w:szCs w:val="24"/>
              </w:rPr>
            </w:pPr>
            <w:r>
              <w:rPr/>
              <w:fldChar w:fldCharType="begin"/>
            </w:r>
            <w:r>
              <w:rPr/>
              <w:instrText xml:space="preserve"> =E5*G5</w:instrText>
            </w:r>
            <w:r>
              <w:rPr/>
              <w:fldChar w:fldCharType="separate"/>
            </w:r>
            <w:r>
              <w:rPr/>
              <w:t>363,28</w:t>
            </w:r>
            <w:r>
              <w:rPr/>
              <w:fldChar w:fldCharType="end"/>
            </w:r>
          </w:p>
        </w:tc>
      </w:tr>
      <w:tr>
        <w:trPr>
          <w:trHeight w:val="648" w:hRule="atLeast"/>
        </w:trPr>
        <w:tc>
          <w:tcPr>
            <w:tcW w:w="697" w:type="dxa"/>
            <w:tcBorders>
              <w:left w:val="single" w:sz="2" w:space="0" w:color="000001"/>
              <w:bottom w:val="single" w:sz="2" w:space="0" w:color="000001"/>
            </w:tcBorders>
            <w:vAlign w:val="cente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05</w:t>
            </w:r>
          </w:p>
        </w:tc>
        <w:tc>
          <w:tcPr>
            <w:tcW w:w="3131" w:type="dxa"/>
            <w:tcBorders>
              <w:left w:val="single" w:sz="2" w:space="0" w:color="000001"/>
              <w:bottom w:val="single" w:sz="2" w:space="0" w:color="000001"/>
            </w:tcBorders>
            <w:vAlign w:val="center"/>
          </w:tcPr>
          <w:p>
            <w:pPr>
              <w:pStyle w:val="BodyText"/>
              <w:widowControl w:val="false"/>
              <w:spacing w:lineRule="auto" w:line="240" w:before="0" w:after="0"/>
              <w:jc w:val="both"/>
              <w:rPr/>
            </w:pPr>
            <w:r>
              <w:rPr/>
              <w:t>Tinta acrílica, componente: água, resina acrílica pigmentos orgânicos e inorgânico, aspectos físico: líquido viscoso colorido, cor: vermelha, prazo de validade: 36 meses, aplicação: pisos em geral.</w:t>
            </w:r>
          </w:p>
        </w:tc>
        <w:tc>
          <w:tcPr>
            <w:tcW w:w="1115" w:type="dxa"/>
            <w:tcBorders>
              <w:left w:val="single" w:sz="2" w:space="0" w:color="000001"/>
              <w:bottom w:val="single" w:sz="2" w:space="0" w:color="000001"/>
            </w:tcBorders>
            <w:vAlign w:val="center"/>
          </w:tcPr>
          <w:p>
            <w:pPr>
              <w:pStyle w:val="Normal"/>
              <w:widowControl w:val="false"/>
              <w:spacing w:lineRule="auto" w:line="240" w:before="0" w:after="0"/>
              <w:ind w:hanging="0" w:right="-1"/>
              <w:jc w:val="center"/>
              <w:rPr>
                <w:rFonts w:ascii="Times New Roman" w:hAnsi="Times New Roman" w:eastAsia="DejaVu Sans" w:cs="Times New Roman"/>
                <w:b/>
                <w:sz w:val="24"/>
                <w:szCs w:val="24"/>
              </w:rPr>
            </w:pPr>
            <w:r>
              <w:rPr>
                <w:rFonts w:eastAsia="DejaVu Sans" w:cs="Times New Roman" w:ascii="Times New Roman" w:hAnsi="Times New Roman"/>
                <w:b/>
                <w:sz w:val="24"/>
                <w:szCs w:val="24"/>
              </w:rPr>
              <w:t>235811</w:t>
            </w:r>
          </w:p>
        </w:tc>
        <w:tc>
          <w:tcPr>
            <w:tcW w:w="960" w:type="dxa"/>
            <w:tcBorders>
              <w:left w:val="single" w:sz="2" w:space="0" w:color="000001"/>
              <w:bottom w:val="single" w:sz="2" w:space="0" w:color="000001"/>
            </w:tcBorders>
          </w:tcPr>
          <w:p>
            <w:pPr>
              <w:pStyle w:val="Normal"/>
              <w:spacing w:lineRule="auto" w:line="240" w:before="0" w:after="0"/>
              <w:jc w:val="center"/>
              <w:rPr>
                <w:rFonts w:ascii="Times New Roman" w:hAnsi="Times New Roman"/>
                <w:sz w:val="24"/>
                <w:szCs w:val="24"/>
              </w:rPr>
            </w:pPr>
            <w:r>
              <w:rPr>
                <w:rFonts w:ascii="Times New Roman" w:hAnsi="Times New Roman"/>
                <w:sz w:val="24"/>
                <w:szCs w:val="24"/>
              </w:rPr>
              <w:t>Lata 18 l</w:t>
            </w:r>
          </w:p>
        </w:tc>
        <w:tc>
          <w:tcPr>
            <w:tcW w:w="902" w:type="dxa"/>
            <w:tcBorders>
              <w:left w:val="single" w:sz="2" w:space="0" w:color="000001"/>
              <w:bottom w:val="single" w:sz="2" w:space="0" w:color="000001"/>
            </w:tcBorders>
            <w:vAlign w:val="center"/>
          </w:tcPr>
          <w:p>
            <w:pPr>
              <w:pStyle w:val="Normal"/>
              <w:widowControl w:val="false"/>
              <w:spacing w:lineRule="auto" w:line="240" w:before="0" w:after="0"/>
              <w:jc w:val="center"/>
              <w:rPr>
                <w:sz w:val="20"/>
                <w:szCs w:val="20"/>
              </w:rPr>
            </w:pPr>
            <w:r>
              <w:rPr>
                <w:sz w:val="20"/>
                <w:szCs w:val="20"/>
              </w:rPr>
              <w:t>2</w:t>
            </w:r>
          </w:p>
        </w:tc>
        <w:tc>
          <w:tcPr>
            <w:tcW w:w="1027" w:type="dxa"/>
            <w:tcBorders>
              <w:left w:val="single" w:sz="2" w:space="0" w:color="000001"/>
              <w:bottom w:val="single" w:sz="2" w:space="0" w:color="000001"/>
            </w:tcBorders>
            <w:vAlign w:val="center"/>
          </w:tcPr>
          <w:p>
            <w:pPr>
              <w:pStyle w:val="Normal"/>
              <w:widowControl w:val="false"/>
              <w:spacing w:lineRule="auto" w:line="240" w:before="0" w:after="0"/>
              <w:jc w:val="center"/>
              <w:rPr>
                <w:sz w:val="20"/>
                <w:szCs w:val="20"/>
              </w:rPr>
            </w:pPr>
            <w:r>
              <w:rPr>
                <w:sz w:val="20"/>
                <w:szCs w:val="20"/>
              </w:rPr>
              <w:t>1</w:t>
            </w:r>
          </w:p>
        </w:tc>
        <w:tc>
          <w:tcPr>
            <w:tcW w:w="1351" w:type="dxa"/>
            <w:tcBorders>
              <w:left w:val="single" w:sz="2" w:space="0" w:color="000001"/>
              <w:bottom w:val="single" w:sz="2" w:space="0" w:color="000001"/>
              <w:right w:val="single" w:sz="2" w:space="0" w:color="000001"/>
            </w:tcBorders>
            <w:vAlign w:val="center"/>
          </w:tcPr>
          <w:p>
            <w:pPr>
              <w:pStyle w:val="Contedodatabela"/>
              <w:spacing w:lineRule="auto" w:line="240" w:before="0" w:after="0"/>
              <w:jc w:val="center"/>
              <w:rPr>
                <w:color w:val="000000"/>
              </w:rPr>
            </w:pPr>
            <w:r>
              <w:rPr>
                <w:color w:val="000000"/>
              </w:rPr>
              <w:t>186,53</w:t>
            </w:r>
          </w:p>
        </w:tc>
        <w:tc>
          <w:tcPr>
            <w:tcW w:w="1196" w:type="dxa"/>
            <w:tcBorders>
              <w:left w:val="single" w:sz="2" w:space="0" w:color="000001"/>
              <w:bottom w:val="single" w:sz="2" w:space="0" w:color="000001"/>
              <w:right w:val="single" w:sz="2" w:space="0" w:color="000001"/>
            </w:tcBorders>
            <w:vAlign w:val="center"/>
          </w:tcPr>
          <w:p>
            <w:pPr>
              <w:pStyle w:val="Contedodatabela"/>
              <w:spacing w:lineRule="auto" w:line="240" w:before="0" w:after="0"/>
              <w:jc w:val="center"/>
              <w:rPr>
                <w:rFonts w:ascii="Times New Roman" w:hAnsi="Times New Roman"/>
                <w:sz w:val="24"/>
                <w:szCs w:val="24"/>
              </w:rPr>
            </w:pPr>
            <w:r>
              <w:rPr/>
              <w:fldChar w:fldCharType="begin"/>
            </w:r>
            <w:r>
              <w:rPr/>
              <w:instrText xml:space="preserve"> =E6*G6</w:instrText>
            </w:r>
            <w:r>
              <w:rPr/>
              <w:fldChar w:fldCharType="separate"/>
            </w:r>
            <w:r>
              <w:rPr/>
              <w:t>373,06</w:t>
            </w:r>
            <w:r>
              <w:rPr/>
              <w:fldChar w:fldCharType="end"/>
            </w:r>
          </w:p>
        </w:tc>
      </w:tr>
      <w:tr>
        <w:trPr>
          <w:trHeight w:val="648" w:hRule="atLeast"/>
        </w:trPr>
        <w:tc>
          <w:tcPr>
            <w:tcW w:w="697" w:type="dxa"/>
            <w:tcBorders>
              <w:left w:val="single" w:sz="2" w:space="0" w:color="000001"/>
              <w:bottom w:val="single" w:sz="2" w:space="0" w:color="000001"/>
            </w:tcBorders>
            <w:vAlign w:val="cente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06</w:t>
            </w:r>
          </w:p>
        </w:tc>
        <w:tc>
          <w:tcPr>
            <w:tcW w:w="3131" w:type="dxa"/>
            <w:tcBorders>
              <w:left w:val="single" w:sz="2" w:space="0" w:color="000001"/>
              <w:bottom w:val="single" w:sz="2" w:space="0" w:color="000001"/>
            </w:tcBorders>
            <w:vAlign w:val="center"/>
          </w:tcPr>
          <w:p>
            <w:pPr>
              <w:pStyle w:val="BodyText"/>
              <w:widowControl w:val="false"/>
              <w:spacing w:lineRule="auto" w:line="240" w:before="0" w:after="0"/>
              <w:jc w:val="both"/>
              <w:rPr/>
            </w:pPr>
            <w:r>
              <w:rPr/>
              <w:t>Tomada, formato contato: 3 p + t, corrente nominal: 32 a, tensão nominal: 380/440 v, características adicionais: com sistema de encaixe na tampa, aplicação: industrial, referência: steck – n4206</w:t>
            </w:r>
          </w:p>
        </w:tc>
        <w:tc>
          <w:tcPr>
            <w:tcW w:w="1115" w:type="dxa"/>
            <w:tcBorders>
              <w:left w:val="single" w:sz="2" w:space="0" w:color="000001"/>
              <w:bottom w:val="single" w:sz="2" w:space="0" w:color="000001"/>
            </w:tcBorders>
            <w:vAlign w:val="center"/>
          </w:tcPr>
          <w:p>
            <w:pPr>
              <w:pStyle w:val="Normal"/>
              <w:widowControl w:val="false"/>
              <w:spacing w:lineRule="auto" w:line="240" w:before="0" w:after="0"/>
              <w:ind w:hanging="0" w:right="-1"/>
              <w:jc w:val="center"/>
              <w:rPr>
                <w:rFonts w:ascii="Times New Roman" w:hAnsi="Times New Roman" w:eastAsia="DejaVu Sans" w:cs="Times New Roman"/>
                <w:b/>
                <w:sz w:val="24"/>
                <w:szCs w:val="24"/>
              </w:rPr>
            </w:pPr>
            <w:r>
              <w:rPr>
                <w:rFonts w:eastAsia="DejaVu Sans" w:cs="Times New Roman" w:ascii="Times New Roman" w:hAnsi="Times New Roman"/>
                <w:b/>
                <w:sz w:val="24"/>
                <w:szCs w:val="24"/>
              </w:rPr>
              <w:t>486019</w:t>
            </w:r>
          </w:p>
        </w:tc>
        <w:tc>
          <w:tcPr>
            <w:tcW w:w="960" w:type="dxa"/>
            <w:tcBorders>
              <w:left w:val="single" w:sz="2" w:space="0" w:color="000001"/>
              <w:bottom w:val="single" w:sz="2" w:space="0" w:color="000001"/>
            </w:tcBorders>
          </w:tcPr>
          <w:p>
            <w:pPr>
              <w:pStyle w:val="Normal"/>
              <w:spacing w:lineRule="auto" w:line="240" w:before="0" w:after="0"/>
              <w:jc w:val="center"/>
              <w:rPr>
                <w:rFonts w:ascii="Times New Roman" w:hAnsi="Times New Roman"/>
                <w:sz w:val="24"/>
                <w:szCs w:val="24"/>
              </w:rPr>
            </w:pPr>
            <w:r>
              <w:rPr>
                <w:rFonts w:ascii="Times New Roman" w:hAnsi="Times New Roman"/>
                <w:sz w:val="24"/>
                <w:szCs w:val="24"/>
              </w:rPr>
              <w:t>Und</w:t>
            </w:r>
          </w:p>
        </w:tc>
        <w:tc>
          <w:tcPr>
            <w:tcW w:w="902" w:type="dxa"/>
            <w:tcBorders>
              <w:left w:val="single" w:sz="2" w:space="0" w:color="000001"/>
              <w:bottom w:val="single" w:sz="2" w:space="0" w:color="000001"/>
            </w:tcBorders>
            <w:vAlign w:val="center"/>
          </w:tcPr>
          <w:p>
            <w:pPr>
              <w:pStyle w:val="Normal"/>
              <w:widowControl w:val="false"/>
              <w:spacing w:lineRule="auto" w:line="240" w:before="0" w:after="0"/>
              <w:jc w:val="center"/>
              <w:rPr>
                <w:sz w:val="20"/>
                <w:szCs w:val="20"/>
              </w:rPr>
            </w:pPr>
            <w:r>
              <w:rPr>
                <w:sz w:val="20"/>
                <w:szCs w:val="20"/>
              </w:rPr>
              <w:t>4</w:t>
            </w:r>
          </w:p>
        </w:tc>
        <w:tc>
          <w:tcPr>
            <w:tcW w:w="1027" w:type="dxa"/>
            <w:tcBorders>
              <w:left w:val="single" w:sz="2" w:space="0" w:color="000001"/>
              <w:bottom w:val="single" w:sz="2" w:space="0" w:color="000001"/>
            </w:tcBorders>
            <w:vAlign w:val="center"/>
          </w:tcPr>
          <w:p>
            <w:pPr>
              <w:pStyle w:val="Normal"/>
              <w:widowControl w:val="false"/>
              <w:spacing w:lineRule="auto" w:line="240" w:before="0" w:after="0"/>
              <w:jc w:val="center"/>
              <w:rPr>
                <w:sz w:val="20"/>
                <w:szCs w:val="20"/>
              </w:rPr>
            </w:pPr>
            <w:r>
              <w:rPr>
                <w:sz w:val="20"/>
                <w:szCs w:val="20"/>
              </w:rPr>
              <w:t>2</w:t>
            </w:r>
          </w:p>
        </w:tc>
        <w:tc>
          <w:tcPr>
            <w:tcW w:w="1351" w:type="dxa"/>
            <w:tcBorders>
              <w:left w:val="single" w:sz="2" w:space="0" w:color="000001"/>
              <w:bottom w:val="single" w:sz="2" w:space="0" w:color="000001"/>
              <w:right w:val="single" w:sz="2" w:space="0" w:color="000001"/>
            </w:tcBorders>
            <w:vAlign w:val="center"/>
          </w:tcPr>
          <w:p>
            <w:pPr>
              <w:pStyle w:val="Contedodatabela"/>
              <w:spacing w:lineRule="auto" w:line="240" w:before="0" w:after="0"/>
              <w:jc w:val="center"/>
              <w:rPr>
                <w:color w:val="000000"/>
              </w:rPr>
            </w:pPr>
            <w:r>
              <w:rPr>
                <w:color w:val="000000"/>
              </w:rPr>
              <w:t>123,05</w:t>
            </w:r>
          </w:p>
        </w:tc>
        <w:tc>
          <w:tcPr>
            <w:tcW w:w="1196" w:type="dxa"/>
            <w:tcBorders>
              <w:left w:val="single" w:sz="2" w:space="0" w:color="000001"/>
              <w:bottom w:val="single" w:sz="2" w:space="0" w:color="000001"/>
              <w:right w:val="single" w:sz="2" w:space="0" w:color="000001"/>
            </w:tcBorders>
            <w:vAlign w:val="center"/>
          </w:tcPr>
          <w:p>
            <w:pPr>
              <w:pStyle w:val="Contedodatabela"/>
              <w:spacing w:lineRule="auto" w:line="240" w:before="0" w:after="0"/>
              <w:jc w:val="center"/>
              <w:rPr>
                <w:rFonts w:ascii="Times New Roman" w:hAnsi="Times New Roman"/>
                <w:sz w:val="24"/>
                <w:szCs w:val="24"/>
              </w:rPr>
            </w:pPr>
            <w:r>
              <w:rPr/>
              <w:fldChar w:fldCharType="begin"/>
            </w:r>
            <w:r>
              <w:rPr/>
              <w:instrText xml:space="preserve"> =E7*G7</w:instrText>
            </w:r>
            <w:r>
              <w:rPr/>
              <w:fldChar w:fldCharType="separate"/>
            </w:r>
            <w:r>
              <w:rPr/>
              <w:t>492,2</w:t>
            </w:r>
            <w:r>
              <w:rPr/>
              <w:fldChar w:fldCharType="end"/>
            </w:r>
          </w:p>
        </w:tc>
      </w:tr>
      <w:tr>
        <w:trPr>
          <w:trHeight w:val="648" w:hRule="atLeast"/>
        </w:trPr>
        <w:tc>
          <w:tcPr>
            <w:tcW w:w="697" w:type="dxa"/>
            <w:tcBorders>
              <w:left w:val="single" w:sz="2" w:space="0" w:color="000001"/>
              <w:bottom w:val="single" w:sz="2" w:space="0" w:color="000001"/>
            </w:tcBorders>
            <w:vAlign w:val="cente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07</w:t>
            </w:r>
          </w:p>
        </w:tc>
        <w:tc>
          <w:tcPr>
            <w:tcW w:w="3131" w:type="dxa"/>
            <w:tcBorders>
              <w:left w:val="single" w:sz="2" w:space="0" w:color="000001"/>
              <w:bottom w:val="single" w:sz="2" w:space="0" w:color="000001"/>
            </w:tcBorders>
            <w:vAlign w:val="center"/>
          </w:tcPr>
          <w:p>
            <w:pPr>
              <w:pStyle w:val="BodyText"/>
              <w:widowControl w:val="false"/>
              <w:spacing w:lineRule="auto" w:line="240" w:before="0" w:after="0"/>
              <w:jc w:val="both"/>
              <w:rPr/>
            </w:pPr>
            <w:r>
              <w:rPr/>
              <w:t>Conexão hidráulica, material: pvc – cloreto de polivinila, tipo: adaptador curto, tipo fixação: soldável e roscável, aplicação: registro, bitola ii: 25mm x ¾ pol.</w:t>
            </w:r>
          </w:p>
        </w:tc>
        <w:tc>
          <w:tcPr>
            <w:tcW w:w="1115" w:type="dxa"/>
            <w:tcBorders>
              <w:left w:val="single" w:sz="2" w:space="0" w:color="000001"/>
              <w:bottom w:val="single" w:sz="2" w:space="0" w:color="000001"/>
            </w:tcBorders>
            <w:vAlign w:val="center"/>
          </w:tcPr>
          <w:p>
            <w:pPr>
              <w:pStyle w:val="Normal"/>
              <w:widowControl w:val="false"/>
              <w:spacing w:lineRule="auto" w:line="240" w:before="0" w:after="0"/>
              <w:ind w:hanging="0" w:right="-1"/>
              <w:jc w:val="center"/>
              <w:rPr>
                <w:rFonts w:ascii="Times New Roman" w:hAnsi="Times New Roman" w:eastAsia="DejaVu Sans" w:cs="Times New Roman"/>
                <w:b/>
                <w:sz w:val="24"/>
                <w:szCs w:val="24"/>
              </w:rPr>
            </w:pPr>
            <w:r>
              <w:rPr>
                <w:rFonts w:eastAsia="DejaVu Sans" w:cs="Times New Roman" w:ascii="Times New Roman" w:hAnsi="Times New Roman"/>
                <w:b/>
                <w:sz w:val="24"/>
                <w:szCs w:val="24"/>
              </w:rPr>
              <w:t>373932</w:t>
            </w:r>
          </w:p>
        </w:tc>
        <w:tc>
          <w:tcPr>
            <w:tcW w:w="960" w:type="dxa"/>
            <w:tcBorders>
              <w:left w:val="single" w:sz="2" w:space="0" w:color="000001"/>
              <w:bottom w:val="single" w:sz="2" w:space="0" w:color="000001"/>
            </w:tcBorders>
          </w:tcPr>
          <w:p>
            <w:pPr>
              <w:pStyle w:val="Normal"/>
              <w:spacing w:lineRule="auto" w:line="240" w:before="0" w:after="0"/>
              <w:jc w:val="center"/>
              <w:rPr>
                <w:rFonts w:ascii="Times New Roman" w:hAnsi="Times New Roman"/>
                <w:sz w:val="24"/>
                <w:szCs w:val="24"/>
              </w:rPr>
            </w:pPr>
            <w:r>
              <w:rPr>
                <w:rFonts w:ascii="Times New Roman" w:hAnsi="Times New Roman"/>
                <w:sz w:val="24"/>
                <w:szCs w:val="24"/>
              </w:rPr>
              <w:t>Und</w:t>
            </w:r>
          </w:p>
        </w:tc>
        <w:tc>
          <w:tcPr>
            <w:tcW w:w="902" w:type="dxa"/>
            <w:tcBorders>
              <w:left w:val="single" w:sz="2" w:space="0" w:color="000001"/>
              <w:bottom w:val="single" w:sz="2" w:space="0" w:color="000001"/>
            </w:tcBorders>
            <w:vAlign w:val="center"/>
          </w:tcPr>
          <w:p>
            <w:pPr>
              <w:pStyle w:val="Normal"/>
              <w:widowControl w:val="false"/>
              <w:spacing w:lineRule="auto" w:line="240" w:before="0" w:after="0"/>
              <w:jc w:val="center"/>
              <w:rPr>
                <w:sz w:val="20"/>
                <w:szCs w:val="20"/>
              </w:rPr>
            </w:pPr>
            <w:r>
              <w:rPr>
                <w:sz w:val="20"/>
                <w:szCs w:val="20"/>
              </w:rPr>
              <w:t>120</w:t>
            </w:r>
          </w:p>
        </w:tc>
        <w:tc>
          <w:tcPr>
            <w:tcW w:w="1027" w:type="dxa"/>
            <w:tcBorders>
              <w:left w:val="single" w:sz="2" w:space="0" w:color="000001"/>
              <w:bottom w:val="single" w:sz="2" w:space="0" w:color="000001"/>
            </w:tcBorders>
            <w:vAlign w:val="center"/>
          </w:tcPr>
          <w:p>
            <w:pPr>
              <w:pStyle w:val="Normal"/>
              <w:widowControl w:val="false"/>
              <w:spacing w:lineRule="auto" w:line="240" w:before="0" w:after="0"/>
              <w:jc w:val="center"/>
              <w:rPr>
                <w:sz w:val="20"/>
                <w:szCs w:val="20"/>
              </w:rPr>
            </w:pPr>
            <w:r>
              <w:rPr>
                <w:sz w:val="20"/>
                <w:szCs w:val="20"/>
              </w:rPr>
              <w:t>10</w:t>
            </w:r>
          </w:p>
        </w:tc>
        <w:tc>
          <w:tcPr>
            <w:tcW w:w="1351" w:type="dxa"/>
            <w:tcBorders>
              <w:left w:val="single" w:sz="2" w:space="0" w:color="000001"/>
              <w:bottom w:val="single" w:sz="2" w:space="0" w:color="000001"/>
              <w:right w:val="single" w:sz="2" w:space="0" w:color="000001"/>
            </w:tcBorders>
            <w:vAlign w:val="center"/>
          </w:tcPr>
          <w:p>
            <w:pPr>
              <w:pStyle w:val="Contedodatabela"/>
              <w:spacing w:lineRule="auto" w:line="240" w:before="0" w:after="0"/>
              <w:jc w:val="center"/>
              <w:rPr>
                <w:color w:val="000000"/>
              </w:rPr>
            </w:pPr>
            <w:r>
              <w:rPr>
                <w:color w:val="000000"/>
              </w:rPr>
              <w:t>0,97</w:t>
            </w:r>
          </w:p>
        </w:tc>
        <w:tc>
          <w:tcPr>
            <w:tcW w:w="1196" w:type="dxa"/>
            <w:tcBorders>
              <w:left w:val="single" w:sz="2" w:space="0" w:color="000001"/>
              <w:bottom w:val="single" w:sz="2" w:space="0" w:color="000001"/>
              <w:right w:val="single" w:sz="2" w:space="0" w:color="000001"/>
            </w:tcBorders>
            <w:vAlign w:val="center"/>
          </w:tcPr>
          <w:p>
            <w:pPr>
              <w:pStyle w:val="Contedodatabela"/>
              <w:spacing w:lineRule="auto" w:line="240" w:before="0" w:after="0"/>
              <w:jc w:val="center"/>
              <w:rPr>
                <w:rFonts w:ascii="Times New Roman" w:hAnsi="Times New Roman"/>
                <w:sz w:val="24"/>
                <w:szCs w:val="24"/>
              </w:rPr>
            </w:pPr>
            <w:r>
              <w:rPr/>
              <w:fldChar w:fldCharType="begin"/>
            </w:r>
            <w:r>
              <w:rPr/>
              <w:instrText xml:space="preserve"> =E8*G8</w:instrText>
            </w:r>
            <w:r>
              <w:rPr/>
              <w:fldChar w:fldCharType="separate"/>
            </w:r>
            <w:r>
              <w:rPr/>
              <w:t>116,4</w:t>
            </w:r>
            <w:r>
              <w:rPr/>
              <w:fldChar w:fldCharType="end"/>
            </w:r>
          </w:p>
        </w:tc>
      </w:tr>
      <w:tr>
        <w:trPr>
          <w:trHeight w:val="648" w:hRule="atLeast"/>
        </w:trPr>
        <w:tc>
          <w:tcPr>
            <w:tcW w:w="697" w:type="dxa"/>
            <w:tcBorders>
              <w:left w:val="single" w:sz="2" w:space="0" w:color="000001"/>
              <w:bottom w:val="single" w:sz="2" w:space="0" w:color="000001"/>
            </w:tcBorders>
            <w:vAlign w:val="cente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08</w:t>
            </w:r>
          </w:p>
        </w:tc>
        <w:tc>
          <w:tcPr>
            <w:tcW w:w="3131" w:type="dxa"/>
            <w:tcBorders>
              <w:left w:val="single" w:sz="2" w:space="0" w:color="000001"/>
              <w:bottom w:val="single" w:sz="2" w:space="0" w:color="000001"/>
            </w:tcBorders>
            <w:vAlign w:val="center"/>
          </w:tcPr>
          <w:p>
            <w:pPr>
              <w:pStyle w:val="BodyText"/>
              <w:widowControl w:val="false"/>
              <w:spacing w:lineRule="auto" w:line="240" w:before="0" w:after="0"/>
              <w:jc w:val="both"/>
              <w:rPr/>
            </w:pPr>
            <w:r>
              <w:rPr/>
              <w:t>Registro pressão, material bronze fundido, diâmetro: ¾ pol, tipo: manual, características adicionais: castelo com rosca para fixação de acabamento.</w:t>
            </w:r>
          </w:p>
        </w:tc>
        <w:tc>
          <w:tcPr>
            <w:tcW w:w="1115" w:type="dxa"/>
            <w:tcBorders>
              <w:left w:val="single" w:sz="2" w:space="0" w:color="000001"/>
              <w:bottom w:val="single" w:sz="2" w:space="0" w:color="000001"/>
            </w:tcBorders>
            <w:vAlign w:val="center"/>
          </w:tcPr>
          <w:p>
            <w:pPr>
              <w:pStyle w:val="Normal"/>
              <w:widowControl w:val="false"/>
              <w:spacing w:lineRule="auto" w:line="240" w:before="0" w:after="0"/>
              <w:ind w:hanging="0" w:right="-1"/>
              <w:jc w:val="center"/>
              <w:rPr>
                <w:rFonts w:ascii="Times New Roman" w:hAnsi="Times New Roman" w:eastAsia="DejaVu Sans" w:cs="Times New Roman"/>
                <w:b/>
                <w:sz w:val="24"/>
                <w:szCs w:val="24"/>
              </w:rPr>
            </w:pPr>
            <w:r>
              <w:rPr>
                <w:rFonts w:eastAsia="DejaVu Sans" w:cs="Times New Roman" w:ascii="Times New Roman" w:hAnsi="Times New Roman"/>
                <w:b/>
                <w:sz w:val="24"/>
                <w:szCs w:val="24"/>
              </w:rPr>
              <w:t>233458</w:t>
            </w:r>
          </w:p>
        </w:tc>
        <w:tc>
          <w:tcPr>
            <w:tcW w:w="960" w:type="dxa"/>
            <w:tcBorders>
              <w:left w:val="single" w:sz="2" w:space="0" w:color="000001"/>
              <w:bottom w:val="single" w:sz="2" w:space="0" w:color="000001"/>
            </w:tcBorders>
          </w:tcPr>
          <w:p>
            <w:pPr>
              <w:pStyle w:val="Normal"/>
              <w:spacing w:lineRule="auto" w:line="240" w:before="0" w:after="0"/>
              <w:jc w:val="center"/>
              <w:rPr>
                <w:rFonts w:ascii="Times New Roman" w:hAnsi="Times New Roman"/>
                <w:sz w:val="24"/>
                <w:szCs w:val="24"/>
              </w:rPr>
            </w:pPr>
            <w:r>
              <w:rPr>
                <w:rFonts w:ascii="Times New Roman" w:hAnsi="Times New Roman"/>
                <w:sz w:val="24"/>
                <w:szCs w:val="24"/>
              </w:rPr>
              <w:t>Und</w:t>
            </w:r>
          </w:p>
        </w:tc>
        <w:tc>
          <w:tcPr>
            <w:tcW w:w="902" w:type="dxa"/>
            <w:tcBorders>
              <w:left w:val="single" w:sz="2" w:space="0" w:color="000001"/>
              <w:bottom w:val="single" w:sz="2" w:space="0" w:color="000001"/>
            </w:tcBorders>
            <w:vAlign w:val="center"/>
          </w:tcPr>
          <w:p>
            <w:pPr>
              <w:pStyle w:val="Normal"/>
              <w:widowControl w:val="false"/>
              <w:spacing w:lineRule="auto" w:line="240" w:before="0" w:after="0"/>
              <w:jc w:val="center"/>
              <w:rPr>
                <w:sz w:val="20"/>
                <w:szCs w:val="20"/>
              </w:rPr>
            </w:pPr>
            <w:r>
              <w:rPr>
                <w:sz w:val="20"/>
                <w:szCs w:val="20"/>
              </w:rPr>
              <w:t>15</w:t>
            </w:r>
          </w:p>
        </w:tc>
        <w:tc>
          <w:tcPr>
            <w:tcW w:w="1027" w:type="dxa"/>
            <w:tcBorders>
              <w:left w:val="single" w:sz="2" w:space="0" w:color="000001"/>
              <w:bottom w:val="single" w:sz="2" w:space="0" w:color="000001"/>
            </w:tcBorders>
            <w:vAlign w:val="center"/>
          </w:tcPr>
          <w:p>
            <w:pPr>
              <w:pStyle w:val="Normal"/>
              <w:widowControl w:val="false"/>
              <w:spacing w:lineRule="auto" w:line="240" w:before="0" w:after="0"/>
              <w:jc w:val="center"/>
              <w:rPr>
                <w:sz w:val="20"/>
                <w:szCs w:val="20"/>
              </w:rPr>
            </w:pPr>
            <w:r>
              <w:rPr>
                <w:sz w:val="20"/>
                <w:szCs w:val="20"/>
              </w:rPr>
              <w:t>5</w:t>
            </w:r>
          </w:p>
        </w:tc>
        <w:tc>
          <w:tcPr>
            <w:tcW w:w="1351" w:type="dxa"/>
            <w:tcBorders>
              <w:left w:val="single" w:sz="2" w:space="0" w:color="000001"/>
              <w:bottom w:val="single" w:sz="2" w:space="0" w:color="000001"/>
              <w:right w:val="single" w:sz="2" w:space="0" w:color="000001"/>
            </w:tcBorders>
            <w:vAlign w:val="center"/>
          </w:tcPr>
          <w:p>
            <w:pPr>
              <w:pStyle w:val="Contedodatabela"/>
              <w:spacing w:lineRule="auto" w:line="240" w:before="0" w:after="0"/>
              <w:jc w:val="center"/>
              <w:rPr>
                <w:color w:val="000000"/>
              </w:rPr>
            </w:pPr>
            <w:r>
              <w:rPr>
                <w:color w:val="000000"/>
              </w:rPr>
              <w:t>30,78</w:t>
            </w:r>
          </w:p>
        </w:tc>
        <w:tc>
          <w:tcPr>
            <w:tcW w:w="1196" w:type="dxa"/>
            <w:tcBorders>
              <w:left w:val="single" w:sz="2" w:space="0" w:color="000001"/>
              <w:bottom w:val="single" w:sz="2" w:space="0" w:color="000001"/>
              <w:right w:val="single" w:sz="2" w:space="0" w:color="000001"/>
            </w:tcBorders>
            <w:vAlign w:val="center"/>
          </w:tcPr>
          <w:p>
            <w:pPr>
              <w:pStyle w:val="Contedodatabela"/>
              <w:spacing w:lineRule="auto" w:line="240" w:before="0" w:after="0"/>
              <w:jc w:val="center"/>
              <w:rPr>
                <w:rFonts w:ascii="Times New Roman" w:hAnsi="Times New Roman"/>
                <w:sz w:val="24"/>
                <w:szCs w:val="24"/>
              </w:rPr>
            </w:pPr>
            <w:r>
              <w:rPr/>
              <w:fldChar w:fldCharType="begin"/>
            </w:r>
            <w:r>
              <w:rPr/>
              <w:instrText xml:space="preserve"> =E9*G9</w:instrText>
            </w:r>
            <w:r>
              <w:rPr/>
              <w:fldChar w:fldCharType="separate"/>
            </w:r>
            <w:r>
              <w:rPr/>
              <w:t>461,7</w:t>
            </w:r>
            <w:r>
              <w:rPr/>
              <w:fldChar w:fldCharType="end"/>
            </w:r>
          </w:p>
        </w:tc>
      </w:tr>
      <w:tr>
        <w:trPr>
          <w:trHeight w:val="648" w:hRule="atLeast"/>
        </w:trPr>
        <w:tc>
          <w:tcPr>
            <w:tcW w:w="697" w:type="dxa"/>
            <w:tcBorders>
              <w:left w:val="single" w:sz="2" w:space="0" w:color="000001"/>
              <w:bottom w:val="single" w:sz="2" w:space="0" w:color="000001"/>
            </w:tcBorders>
            <w:vAlign w:val="cente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09</w:t>
            </w:r>
          </w:p>
        </w:tc>
        <w:tc>
          <w:tcPr>
            <w:tcW w:w="3131" w:type="dxa"/>
            <w:tcBorders>
              <w:left w:val="single" w:sz="2" w:space="0" w:color="000001"/>
              <w:bottom w:val="single" w:sz="2" w:space="0" w:color="000001"/>
            </w:tcBorders>
            <w:vAlign w:val="center"/>
          </w:tcPr>
          <w:p>
            <w:pPr>
              <w:pStyle w:val="BodyText"/>
              <w:widowControl w:val="false"/>
              <w:spacing w:before="0" w:after="120"/>
              <w:jc w:val="both"/>
              <w:rPr>
                <w:rFonts w:ascii="Times New Roman" w:hAnsi="Times New Roman"/>
                <w:sz w:val="18"/>
                <w:szCs w:val="18"/>
              </w:rPr>
            </w:pPr>
            <w:r>
              <w:rPr>
                <w:sz w:val="18"/>
                <w:szCs w:val="18"/>
              </w:rPr>
              <w:t>Trânsito-Registro / Emplacamento de Veículos (Renault Logan),  (Nissan Versa).</w:t>
            </w:r>
          </w:p>
        </w:tc>
        <w:tc>
          <w:tcPr>
            <w:tcW w:w="1115" w:type="dxa"/>
            <w:tcBorders>
              <w:left w:val="single" w:sz="2" w:space="0" w:color="000001"/>
              <w:bottom w:val="single" w:sz="2" w:space="0" w:color="000001"/>
            </w:tcBorders>
            <w:vAlign w:val="center"/>
          </w:tcPr>
          <w:p>
            <w:pPr>
              <w:pStyle w:val="Normal"/>
              <w:widowControl w:val="false"/>
              <w:spacing w:lineRule="auto" w:line="240" w:before="0" w:after="0"/>
              <w:ind w:hanging="0" w:right="-1"/>
              <w:jc w:val="center"/>
              <w:rPr>
                <w:rFonts w:ascii="Times New Roman" w:hAnsi="Times New Roman" w:eastAsia="DejaVu Sans" w:cs="Times New Roman"/>
                <w:b/>
                <w:sz w:val="24"/>
                <w:szCs w:val="24"/>
              </w:rPr>
            </w:pPr>
            <w:r>
              <w:rPr>
                <w:rFonts w:eastAsia="DejaVu Sans" w:cs="Times New Roman" w:ascii="Times New Roman" w:hAnsi="Times New Roman"/>
                <w:b/>
                <w:sz w:val="24"/>
                <w:szCs w:val="24"/>
              </w:rPr>
              <w:t>18279</w:t>
            </w:r>
          </w:p>
        </w:tc>
        <w:tc>
          <w:tcPr>
            <w:tcW w:w="960" w:type="dxa"/>
            <w:tcBorders>
              <w:left w:val="single" w:sz="2" w:space="0" w:color="000001"/>
              <w:bottom w:val="single" w:sz="2" w:space="0" w:color="000001"/>
            </w:tcBorders>
          </w:tcPr>
          <w:p>
            <w:pPr>
              <w:pStyle w:val="Normal"/>
              <w:spacing w:lineRule="auto" w:line="240" w:before="0" w:after="0"/>
              <w:jc w:val="center"/>
              <w:rPr>
                <w:rFonts w:ascii="Times New Roman" w:hAnsi="Times New Roman"/>
                <w:sz w:val="24"/>
                <w:szCs w:val="24"/>
              </w:rPr>
            </w:pPr>
            <w:r>
              <w:rPr>
                <w:rFonts w:ascii="Times New Roman" w:hAnsi="Times New Roman"/>
                <w:sz w:val="24"/>
                <w:szCs w:val="24"/>
              </w:rPr>
              <w:t>UND</w:t>
            </w:r>
          </w:p>
        </w:tc>
        <w:tc>
          <w:tcPr>
            <w:tcW w:w="902" w:type="dxa"/>
            <w:tcBorders>
              <w:left w:val="single" w:sz="2" w:space="0" w:color="000001"/>
              <w:bottom w:val="single" w:sz="2" w:space="0" w:color="000001"/>
            </w:tcBorders>
            <w:vAlign w:val="center"/>
          </w:tcPr>
          <w:p>
            <w:pPr>
              <w:pStyle w:val="Normal"/>
              <w:widowControl w:val="false"/>
              <w:spacing w:lineRule="auto" w:line="240" w:before="0" w:after="0"/>
              <w:jc w:val="center"/>
              <w:rPr>
                <w:sz w:val="20"/>
                <w:szCs w:val="20"/>
              </w:rPr>
            </w:pPr>
            <w:r>
              <w:rPr>
                <w:sz w:val="20"/>
                <w:szCs w:val="20"/>
              </w:rPr>
              <w:t>2</w:t>
            </w:r>
          </w:p>
        </w:tc>
        <w:tc>
          <w:tcPr>
            <w:tcW w:w="1027" w:type="dxa"/>
            <w:tcBorders>
              <w:left w:val="single" w:sz="2" w:space="0" w:color="000001"/>
              <w:bottom w:val="single" w:sz="2" w:space="0" w:color="000001"/>
            </w:tcBorders>
            <w:vAlign w:val="center"/>
          </w:tcPr>
          <w:p>
            <w:pPr>
              <w:pStyle w:val="Normal"/>
              <w:widowControl w:val="false"/>
              <w:spacing w:lineRule="auto" w:line="240" w:before="0" w:after="0"/>
              <w:jc w:val="center"/>
              <w:rPr>
                <w:sz w:val="20"/>
                <w:szCs w:val="20"/>
              </w:rPr>
            </w:pPr>
            <w:r>
              <w:rPr>
                <w:sz w:val="20"/>
                <w:szCs w:val="20"/>
              </w:rPr>
              <w:t>1</w:t>
            </w:r>
          </w:p>
        </w:tc>
        <w:tc>
          <w:tcPr>
            <w:tcW w:w="1351" w:type="dxa"/>
            <w:tcBorders>
              <w:left w:val="single" w:sz="2" w:space="0" w:color="000001"/>
              <w:bottom w:val="single" w:sz="2" w:space="0" w:color="000001"/>
              <w:right w:val="single" w:sz="2" w:space="0" w:color="000001"/>
            </w:tcBorders>
            <w:vAlign w:val="center"/>
          </w:tcPr>
          <w:p>
            <w:pPr>
              <w:pStyle w:val="Contedodatabela"/>
              <w:spacing w:lineRule="auto" w:line="240" w:before="0" w:after="0"/>
              <w:jc w:val="center"/>
              <w:rPr>
                <w:color w:val="000000"/>
              </w:rPr>
            </w:pPr>
            <w:r>
              <w:rPr>
                <w:color w:val="000000"/>
              </w:rPr>
              <w:t>800,00</w:t>
            </w:r>
          </w:p>
        </w:tc>
        <w:tc>
          <w:tcPr>
            <w:tcW w:w="1196" w:type="dxa"/>
            <w:tcBorders>
              <w:left w:val="single" w:sz="2" w:space="0" w:color="000001"/>
              <w:bottom w:val="single" w:sz="2" w:space="0" w:color="000001"/>
              <w:right w:val="single" w:sz="2" w:space="0" w:color="000001"/>
            </w:tcBorders>
            <w:vAlign w:val="center"/>
          </w:tcPr>
          <w:p>
            <w:pPr>
              <w:pStyle w:val="Contedodatabela"/>
              <w:spacing w:lineRule="auto" w:line="240" w:before="0" w:after="0"/>
              <w:jc w:val="center"/>
              <w:rPr>
                <w:rFonts w:ascii="Times New Roman" w:hAnsi="Times New Roman"/>
                <w:sz w:val="24"/>
                <w:szCs w:val="24"/>
              </w:rPr>
            </w:pPr>
            <w:r>
              <w:rPr/>
              <w:fldChar w:fldCharType="begin"/>
            </w:r>
            <w:r>
              <w:rPr/>
              <w:instrText xml:space="preserve"> =G10*2</w:instrText>
            </w:r>
            <w:r>
              <w:rPr/>
              <w:fldChar w:fldCharType="separate"/>
            </w:r>
            <w:r>
              <w:rPr/>
              <w:t>1600</w:t>
            </w:r>
            <w:r>
              <w:rPr/>
              <w:fldChar w:fldCharType="end"/>
            </w:r>
          </w:p>
        </w:tc>
      </w:tr>
      <w:tr>
        <w:trPr>
          <w:trHeight w:val="648" w:hRule="atLeast"/>
        </w:trPr>
        <w:tc>
          <w:tcPr>
            <w:tcW w:w="697" w:type="dxa"/>
            <w:tcBorders>
              <w:left w:val="single" w:sz="2" w:space="0" w:color="000001"/>
              <w:bottom w:val="single" w:sz="2" w:space="0" w:color="000001"/>
            </w:tcBorders>
            <w:vAlign w:val="cente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10</w:t>
            </w:r>
          </w:p>
        </w:tc>
        <w:tc>
          <w:tcPr>
            <w:tcW w:w="3131" w:type="dxa"/>
            <w:tcBorders>
              <w:left w:val="single" w:sz="2" w:space="0" w:color="000001"/>
              <w:bottom w:val="single" w:sz="2" w:space="0" w:color="000001"/>
            </w:tcBorders>
            <w:vAlign w:val="center"/>
          </w:tcPr>
          <w:p>
            <w:pPr>
              <w:pStyle w:val="BodyText"/>
              <w:widowControl w:val="false"/>
              <w:spacing w:lineRule="auto" w:line="240" w:before="0" w:after="0"/>
              <w:jc w:val="both"/>
              <w:rPr/>
            </w:pPr>
            <w:r>
              <w:rPr/>
              <w:t>Manutenção de compressor odontológico</w:t>
            </w:r>
          </w:p>
        </w:tc>
        <w:tc>
          <w:tcPr>
            <w:tcW w:w="1115" w:type="dxa"/>
            <w:tcBorders>
              <w:left w:val="single" w:sz="2" w:space="0" w:color="000001"/>
              <w:bottom w:val="single" w:sz="2" w:space="0" w:color="000001"/>
            </w:tcBorders>
            <w:vAlign w:val="center"/>
          </w:tcPr>
          <w:p>
            <w:pPr>
              <w:pStyle w:val="Normal"/>
              <w:widowControl w:val="false"/>
              <w:spacing w:lineRule="auto" w:line="240" w:before="0" w:after="0"/>
              <w:ind w:hanging="0" w:right="-1"/>
              <w:jc w:val="center"/>
              <w:rPr>
                <w:rFonts w:ascii="Times New Roman" w:hAnsi="Times New Roman" w:eastAsia="DejaVu Sans" w:cs="Times New Roman"/>
                <w:b/>
                <w:sz w:val="24"/>
                <w:szCs w:val="24"/>
              </w:rPr>
            </w:pPr>
            <w:r>
              <w:rPr>
                <w:rFonts w:eastAsia="DejaVu Sans" w:cs="Times New Roman" w:ascii="Times New Roman" w:hAnsi="Times New Roman"/>
                <w:b/>
                <w:sz w:val="24"/>
                <w:szCs w:val="24"/>
              </w:rPr>
              <w:t>2313</w:t>
            </w:r>
          </w:p>
        </w:tc>
        <w:tc>
          <w:tcPr>
            <w:tcW w:w="960" w:type="dxa"/>
            <w:tcBorders>
              <w:left w:val="single" w:sz="2" w:space="0" w:color="000001"/>
              <w:bottom w:val="single" w:sz="2" w:space="0" w:color="000001"/>
            </w:tcBorders>
          </w:tcPr>
          <w:p>
            <w:pPr>
              <w:pStyle w:val="Normal"/>
              <w:spacing w:lineRule="auto" w:line="240" w:before="0" w:after="0"/>
              <w:jc w:val="center"/>
              <w:rPr>
                <w:rFonts w:ascii="Times New Roman" w:hAnsi="Times New Roman"/>
                <w:sz w:val="24"/>
                <w:szCs w:val="24"/>
              </w:rPr>
            </w:pPr>
            <w:r>
              <w:rPr>
                <w:rFonts w:ascii="Times New Roman" w:hAnsi="Times New Roman"/>
                <w:sz w:val="24"/>
                <w:szCs w:val="24"/>
              </w:rPr>
              <w:t>UND</w:t>
            </w:r>
          </w:p>
        </w:tc>
        <w:tc>
          <w:tcPr>
            <w:tcW w:w="902" w:type="dxa"/>
            <w:tcBorders>
              <w:left w:val="single" w:sz="2" w:space="0" w:color="000001"/>
              <w:bottom w:val="single" w:sz="2" w:space="0" w:color="000001"/>
            </w:tcBorders>
            <w:vAlign w:val="center"/>
          </w:tcPr>
          <w:p>
            <w:pPr>
              <w:pStyle w:val="Normal"/>
              <w:widowControl w:val="false"/>
              <w:spacing w:lineRule="auto" w:line="240" w:before="0" w:after="0"/>
              <w:jc w:val="center"/>
              <w:rPr>
                <w:sz w:val="20"/>
                <w:szCs w:val="20"/>
              </w:rPr>
            </w:pPr>
            <w:r>
              <w:rPr>
                <w:sz w:val="20"/>
                <w:szCs w:val="20"/>
              </w:rPr>
              <w:t>2</w:t>
            </w:r>
          </w:p>
        </w:tc>
        <w:tc>
          <w:tcPr>
            <w:tcW w:w="1027" w:type="dxa"/>
            <w:tcBorders>
              <w:left w:val="single" w:sz="2" w:space="0" w:color="000001"/>
              <w:bottom w:val="single" w:sz="2" w:space="0" w:color="000001"/>
            </w:tcBorders>
            <w:vAlign w:val="center"/>
          </w:tcPr>
          <w:p>
            <w:pPr>
              <w:pStyle w:val="Normal"/>
              <w:widowControl w:val="false"/>
              <w:spacing w:lineRule="auto" w:line="240" w:before="0" w:after="0"/>
              <w:jc w:val="center"/>
              <w:rPr>
                <w:sz w:val="20"/>
                <w:szCs w:val="20"/>
              </w:rPr>
            </w:pPr>
            <w:r>
              <w:rPr>
                <w:sz w:val="20"/>
                <w:szCs w:val="20"/>
              </w:rPr>
              <w:t>1</w:t>
            </w:r>
          </w:p>
        </w:tc>
        <w:tc>
          <w:tcPr>
            <w:tcW w:w="1351" w:type="dxa"/>
            <w:tcBorders>
              <w:left w:val="single" w:sz="2" w:space="0" w:color="000001"/>
              <w:bottom w:val="single" w:sz="2" w:space="0" w:color="000001"/>
              <w:right w:val="single" w:sz="2" w:space="0" w:color="000001"/>
            </w:tcBorders>
            <w:vAlign w:val="center"/>
          </w:tcPr>
          <w:p>
            <w:pPr>
              <w:pStyle w:val="Contedodatabela"/>
              <w:spacing w:lineRule="auto" w:line="240" w:before="0" w:after="0"/>
              <w:jc w:val="center"/>
              <w:rPr>
                <w:color w:val="000000"/>
              </w:rPr>
            </w:pPr>
            <w:r>
              <w:rPr>
                <w:color w:val="000000"/>
              </w:rPr>
              <w:t>1742,50</w:t>
            </w:r>
          </w:p>
        </w:tc>
        <w:tc>
          <w:tcPr>
            <w:tcW w:w="1196" w:type="dxa"/>
            <w:tcBorders>
              <w:left w:val="single" w:sz="2" w:space="0" w:color="000001"/>
              <w:bottom w:val="single" w:sz="2" w:space="0" w:color="000001"/>
              <w:right w:val="single" w:sz="2" w:space="0" w:color="000001"/>
            </w:tcBorders>
            <w:vAlign w:val="center"/>
          </w:tcPr>
          <w:p>
            <w:pPr>
              <w:pStyle w:val="Contedodatabela"/>
              <w:spacing w:lineRule="auto" w:line="240" w:before="0" w:after="0"/>
              <w:jc w:val="center"/>
              <w:rPr>
                <w:rFonts w:ascii="Times New Roman" w:hAnsi="Times New Roman"/>
                <w:sz w:val="24"/>
                <w:szCs w:val="24"/>
              </w:rPr>
            </w:pPr>
            <w:r>
              <w:rPr/>
              <w:fldChar w:fldCharType="begin"/>
            </w:r>
            <w:r>
              <w:rPr/>
              <w:instrText xml:space="preserve"> =G11*2</w:instrText>
            </w:r>
            <w:r>
              <w:rPr/>
              <w:fldChar w:fldCharType="separate"/>
            </w:r>
            <w:r>
              <w:rPr/>
              <w:t>3485</w:t>
            </w:r>
            <w:r>
              <w:rPr/>
              <w:fldChar w:fldCharType="end"/>
            </w:r>
          </w:p>
        </w:tc>
      </w:tr>
      <w:tr>
        <w:trPr>
          <w:trHeight w:val="648" w:hRule="atLeast"/>
        </w:trPr>
        <w:tc>
          <w:tcPr>
            <w:tcW w:w="7832" w:type="dxa"/>
            <w:gridSpan w:val="6"/>
            <w:tcBorders>
              <w:left w:val="single" w:sz="2" w:space="0" w:color="000001"/>
              <w:bottom w:val="single" w:sz="2" w:space="0" w:color="000001"/>
            </w:tcBorders>
            <w:vAlign w:val="center"/>
          </w:tcPr>
          <w:p>
            <w:pPr>
              <w:pStyle w:val="Normal"/>
              <w:widowControl w:val="false"/>
              <w:spacing w:lineRule="auto" w:line="240" w:before="0" w:after="0"/>
              <w:jc w:val="center"/>
              <w:rPr>
                <w:rFonts w:ascii="Times New Roman" w:hAnsi="Times New Roman"/>
                <w:sz w:val="24"/>
                <w:szCs w:val="24"/>
              </w:rPr>
            </w:pPr>
            <w:r>
              <w:rPr>
                <w:rFonts w:ascii="Times New Roman" w:hAnsi="Times New Roman"/>
                <w:sz w:val="24"/>
                <w:szCs w:val="24"/>
              </w:rPr>
              <w:t>TOTAL</w:t>
            </w:r>
          </w:p>
        </w:tc>
        <w:tc>
          <w:tcPr>
            <w:tcW w:w="2547" w:type="dxa"/>
            <w:gridSpan w:val="2"/>
            <w:tcBorders>
              <w:left w:val="single" w:sz="2" w:space="0" w:color="000001"/>
              <w:bottom w:val="single" w:sz="2" w:space="0" w:color="000001"/>
              <w:right w:val="single" w:sz="2" w:space="0" w:color="000001"/>
            </w:tcBorders>
            <w:vAlign w:val="center"/>
          </w:tcPr>
          <w:p>
            <w:pPr>
              <w:pStyle w:val="Normal"/>
              <w:jc w:val="center"/>
              <w:rPr/>
            </w:pPr>
            <w:r>
              <w:rPr/>
              <w:fldChar w:fldCharType="begin"/>
            </w:r>
            <w:r>
              <w:rPr/>
              <w:instrText xml:space="preserve"> =H2:H11</w:instrText>
            </w:r>
            <w:r>
              <w:rPr/>
              <w:fldChar w:fldCharType="separate"/>
            </w:r>
            <w:r>
              <w:rPr/>
              <w:t>7815,19</w:t>
            </w:r>
            <w:r>
              <w:rPr/>
              <w:fldChar w:fldCharType="end"/>
            </w:r>
          </w:p>
        </w:tc>
      </w:tr>
    </w:tbl>
    <w:p>
      <w:pPr>
        <w:pStyle w:val="Normal"/>
        <w:numPr>
          <w:ilvl w:val="0"/>
          <w:numId w:val="0"/>
        </w:numPr>
        <w:ind w:hanging="0" w:left="0"/>
        <w:rPr>
          <w:rFonts w:ascii="Times New Roman" w:hAnsi="Times New Roman"/>
          <w:color w:val="auto"/>
          <w:sz w:val="24"/>
          <w:szCs w:val="24"/>
        </w:rPr>
      </w:pPr>
      <w:r>
        <w:rPr>
          <w:rFonts w:ascii="Times New Roman" w:hAnsi="Times New Roman"/>
          <w:color w:val="auto"/>
          <w:sz w:val="24"/>
          <w:szCs w:val="24"/>
        </w:rPr>
      </w:r>
    </w:p>
    <w:p>
      <w:pPr>
        <w:pStyle w:val="Nivel2"/>
        <w:widowControl/>
        <w:numPr>
          <w:ilvl w:val="1"/>
          <w:numId w:val="146"/>
        </w:numPr>
        <w:suppressAutoHyphens w:val="true"/>
        <w:overflowPunct w:val="true"/>
        <w:bidi w:val="0"/>
        <w:spacing w:lineRule="auto" w:line="276" w:before="120" w:after="120"/>
        <w:ind w:hanging="0" w:left="0"/>
        <w:jc w:val="both"/>
        <w:rPr>
          <w:rFonts w:ascii="Times New Roman" w:hAnsi="Times New Roman" w:eastAsia="Arial" w:cs="Arial"/>
          <w:color w:val="auto"/>
          <w:sz w:val="24"/>
          <w:szCs w:val="24"/>
          <w:lang w:eastAsia="pt-BR"/>
        </w:rPr>
      </w:pPr>
      <w:r>
        <w:rPr>
          <w:rFonts w:eastAsia="Arial" w:cs="Arial" w:ascii="Times New Roman" w:hAnsi="Times New Roman"/>
          <w:color w:val="auto"/>
          <w:sz w:val="24"/>
          <w:szCs w:val="24"/>
          <w:lang w:eastAsia="pt-BR"/>
        </w:rPr>
        <w:t>O objeto desta contratação não se enquadra como sendo de bem de luxo, conforme Decreto nº 10.818, de 27 de setembro de 2021.</w:t>
      </w:r>
    </w:p>
    <w:p>
      <w:pPr>
        <w:pStyle w:val="Nvel2-Red"/>
        <w:numPr>
          <w:ilvl w:val="1"/>
          <w:numId w:val="147"/>
        </w:numPr>
        <w:ind w:hanging="0" w:left="0"/>
        <w:rPr>
          <w:rFonts w:ascii="Times New Roman" w:hAnsi="Times New Roman"/>
          <w:color w:val="auto"/>
          <w:sz w:val="24"/>
          <w:szCs w:val="24"/>
        </w:rPr>
      </w:pPr>
      <w:r>
        <w:rPr>
          <w:rFonts w:ascii="Times New Roman" w:hAnsi="Times New Roman"/>
          <w:i w:val="false"/>
          <w:iCs w:val="false"/>
          <w:color w:val="auto"/>
          <w:sz w:val="24"/>
          <w:szCs w:val="24"/>
        </w:rPr>
        <w:t xml:space="preserve">O prazo de vigência da contratação é de </w:t>
      </w:r>
      <w:r>
        <w:rPr>
          <w:rFonts w:ascii="Times New Roman" w:hAnsi="Times New Roman"/>
          <w:b/>
          <w:bCs/>
          <w:i w:val="false"/>
          <w:iCs w:val="false"/>
          <w:color w:val="auto"/>
          <w:sz w:val="24"/>
          <w:szCs w:val="24"/>
        </w:rPr>
        <w:t>90 (noventa) dias</w:t>
      </w:r>
      <w:r>
        <w:rPr>
          <w:rFonts w:ascii="Times New Roman" w:hAnsi="Times New Roman"/>
          <w:i w:val="false"/>
          <w:iCs w:val="false"/>
          <w:color w:val="auto"/>
          <w:sz w:val="24"/>
          <w:szCs w:val="24"/>
        </w:rPr>
        <w:t>, contados do(a) emissão e entrega da nota de empenho ou outro instrumento equivalente, na forma do artigo 105 da Lei n° 14.133, de 2021.</w:t>
      </w:r>
    </w:p>
    <w:p>
      <w:pPr>
        <w:pStyle w:val="Nivel01"/>
        <w:numPr>
          <w:ilvl w:val="0"/>
          <w:numId w:val="4"/>
        </w:numPr>
        <w:ind w:hanging="0" w:left="0"/>
        <w:rPr/>
      </w:pPr>
      <w:r>
        <w:rPr/>
        <w:t>FUNDAMENTAÇÃO E DESCRIÇÃO DA NECESSIDADE DA CONTRATAÇÃO</w:t>
      </w:r>
    </w:p>
    <w:p>
      <w:pPr>
        <w:pStyle w:val="Nivel2"/>
        <w:numPr>
          <w:ilvl w:val="1"/>
          <w:numId w:val="148"/>
        </w:numPr>
        <w:ind w:hanging="0" w:left="0"/>
        <w:rPr>
          <w:rFonts w:ascii="Times New Roman" w:hAnsi="Times New Roman"/>
          <w:color w:val="auto"/>
          <w:sz w:val="24"/>
          <w:szCs w:val="24"/>
        </w:rPr>
      </w:pPr>
      <w:r>
        <w:rPr>
          <w:rFonts w:ascii="Times New Roman" w:hAnsi="Times New Roman"/>
          <w:color w:val="auto"/>
          <w:sz w:val="24"/>
          <w:szCs w:val="24"/>
        </w:rPr>
        <w:t>A Fundamentação da Contratação e de seus quantitativos encontra-se pormenorizada em Tópico específico dos Estudos Técnicos Preliminares, apêndice deste Termo de Referência.</w:t>
      </w:r>
    </w:p>
    <w:p>
      <w:pPr>
        <w:pStyle w:val="Nivel01"/>
        <w:numPr>
          <w:ilvl w:val="0"/>
          <w:numId w:val="4"/>
        </w:numPr>
        <w:ind w:hanging="0" w:left="0"/>
        <w:rPr/>
      </w:pPr>
      <w:r>
        <w:rPr/>
        <w:t>DESCRIÇÃO DA SOLUÇÃO COMO UM TODO CONSIDERADO O CICLO DE VIDA DO OBJETO E ESPECIFICAÇÃO DO PRODUTO</w:t>
      </w:r>
    </w:p>
    <w:p>
      <w:pPr>
        <w:pStyle w:val="Nvel2-Red"/>
        <w:numPr>
          <w:ilvl w:val="1"/>
          <w:numId w:val="149"/>
        </w:numPr>
        <w:ind w:hanging="0" w:left="0"/>
        <w:rPr>
          <w:rFonts w:ascii="Times New Roman" w:hAnsi="Times New Roman"/>
          <w:i w:val="false"/>
          <w:i w:val="false"/>
          <w:iCs w:val="false"/>
          <w:color w:val="auto"/>
        </w:rPr>
      </w:pPr>
      <w:r>
        <w:rPr>
          <w:rFonts w:ascii="Times New Roman" w:hAnsi="Times New Roman"/>
          <w:i w:val="false"/>
          <w:iCs w:val="false"/>
          <w:color w:val="auto"/>
        </w:rPr>
        <w:t>A solução para a presente contratação é realizar dispensa de licitação, tendo em vista não termos os objetos em nossos pregões.</w:t>
      </w:r>
    </w:p>
    <w:p>
      <w:pPr>
        <w:pStyle w:val="Nivel01"/>
        <w:numPr>
          <w:ilvl w:val="0"/>
          <w:numId w:val="4"/>
        </w:numPr>
        <w:ind w:hanging="0" w:left="0"/>
        <w:rPr/>
      </w:pPr>
      <w:r>
        <w:rPr/>
        <w:t>REQUISITOS DA CONTRATAÇÃO</w:t>
      </w:r>
    </w:p>
    <w:p>
      <w:pPr>
        <w:pStyle w:val="Nvel1-SemNumPreto"/>
        <w:ind w:hanging="0" w:left="0"/>
        <w:rPr>
          <w:color w:val="auto"/>
        </w:rPr>
      </w:pPr>
      <w:r>
        <w:rPr>
          <w:color w:val="auto"/>
        </w:rPr>
        <w:t>Sustentabilidade:</w:t>
      </w:r>
    </w:p>
    <w:p>
      <w:pPr>
        <w:pStyle w:val="Nivel2"/>
        <w:numPr>
          <w:ilvl w:val="1"/>
          <w:numId w:val="150"/>
        </w:numPr>
        <w:ind w:hanging="0" w:left="0"/>
        <w:rPr>
          <w:rFonts w:ascii="Times New Roman" w:hAnsi="Times New Roman"/>
          <w:color w:val="auto"/>
          <w:sz w:val="24"/>
          <w:szCs w:val="24"/>
        </w:rPr>
      </w:pPr>
      <w:r>
        <w:rPr>
          <w:rFonts w:ascii="Times New Roman" w:hAnsi="Times New Roman"/>
          <w:color w:val="auto"/>
          <w:sz w:val="24"/>
          <w:szCs w:val="24"/>
        </w:rPr>
        <w:t>Além dos critérios de sustentabilidade eventualmente inseridos na descrição do objeto, devem ser atendidos os seguintes requisitos, que se baseiam no Guia Nacional de Contratações Sustentáveis.</w:t>
      </w:r>
    </w:p>
    <w:p>
      <w:pPr>
        <w:pStyle w:val="Nvel1-SemNum"/>
        <w:ind w:hanging="0" w:left="0"/>
        <w:rPr>
          <w:color w:val="auto"/>
        </w:rPr>
      </w:pPr>
      <w:r>
        <w:rPr>
          <w:color w:val="auto"/>
        </w:rPr>
        <w:t>Indicação de marcas ou modelos:</w:t>
      </w:r>
    </w:p>
    <w:p>
      <w:pPr>
        <w:pStyle w:val="Nivel2"/>
        <w:numPr>
          <w:ilvl w:val="1"/>
          <w:numId w:val="151"/>
        </w:numPr>
        <w:ind w:hanging="0" w:left="0"/>
        <w:rPr>
          <w:rFonts w:ascii="Times New Roman" w:hAnsi="Times New Roman"/>
          <w:color w:val="auto"/>
          <w:sz w:val="24"/>
          <w:szCs w:val="24"/>
        </w:rPr>
      </w:pPr>
      <w:r>
        <w:rPr>
          <w:rFonts w:ascii="Times New Roman" w:hAnsi="Times New Roman"/>
          <w:color w:val="auto"/>
          <w:sz w:val="24"/>
          <w:szCs w:val="24"/>
        </w:rPr>
        <w:t>Na presente contratação não será admitida a indicação da marca(s), característica(s) ou modelo(s).</w:t>
      </w:r>
    </w:p>
    <w:p>
      <w:pPr>
        <w:pStyle w:val="Nvel1-SemNumPreto"/>
        <w:ind w:hanging="0" w:left="0"/>
        <w:rPr>
          <w:color w:val="auto"/>
        </w:rPr>
      </w:pPr>
      <w:r>
        <w:rPr>
          <w:color w:val="auto"/>
        </w:rPr>
        <w:t>Subcontratação</w:t>
      </w:r>
    </w:p>
    <w:p>
      <w:pPr>
        <w:pStyle w:val="Nivel2"/>
        <w:numPr>
          <w:ilvl w:val="1"/>
          <w:numId w:val="152"/>
        </w:numPr>
        <w:ind w:hanging="0" w:left="0"/>
        <w:rPr>
          <w:rFonts w:ascii="Times New Roman" w:hAnsi="Times New Roman"/>
          <w:color w:val="auto"/>
          <w:sz w:val="24"/>
          <w:szCs w:val="24"/>
        </w:rPr>
      </w:pPr>
      <w:r>
        <w:rPr>
          <w:rFonts w:ascii="Times New Roman" w:hAnsi="Times New Roman"/>
          <w:color w:val="auto"/>
          <w:sz w:val="24"/>
          <w:szCs w:val="24"/>
        </w:rPr>
        <w:t>Não é admitida a subcontratação do objeto contratual.</w:t>
      </w:r>
    </w:p>
    <w:p>
      <w:pPr>
        <w:pStyle w:val="Nvel1-SemNumPreto"/>
        <w:ind w:hanging="0" w:left="0"/>
        <w:rPr>
          <w:color w:val="auto"/>
        </w:rPr>
      </w:pPr>
      <w:r>
        <w:rPr>
          <w:color w:val="auto"/>
        </w:rPr>
        <w:t>Garantia da contratação</w:t>
      </w:r>
    </w:p>
    <w:p>
      <w:pPr>
        <w:pStyle w:val="Nvel2-Red"/>
        <w:numPr>
          <w:ilvl w:val="1"/>
          <w:numId w:val="153"/>
        </w:numPr>
        <w:ind w:hanging="0" w:left="0"/>
        <w:rPr>
          <w:color w:val="auto"/>
        </w:rPr>
      </w:pPr>
      <w:r>
        <w:rPr>
          <w:rFonts w:ascii="Times New Roman" w:hAnsi="Times New Roman"/>
          <w:i w:val="false"/>
          <w:iCs w:val="false"/>
          <w:color w:val="auto"/>
          <w:sz w:val="24"/>
          <w:szCs w:val="24"/>
        </w:rPr>
        <w:t xml:space="preserve">Não haverá exigência da garantia da contratação dos </w:t>
      </w:r>
      <w:r>
        <w:fldChar w:fldCharType="begin"/>
      </w:r>
      <w:r>
        <w:rPr>
          <w:rStyle w:val="Hyperlink"/>
          <w:sz w:val="24"/>
          <w:i w:val="false"/>
          <w:szCs w:val="24"/>
          <w:iCs w:val="false"/>
          <w:rFonts w:ascii="Times New Roman" w:hAnsi="Times New Roman"/>
          <w:color w:val="auto"/>
        </w:rPr>
        <w:instrText xml:space="preserve"> HYPERLINK "http://www.planalto.gov.br/ccivil_03/_ato2019-2022/2021/lei/L14133.htm" \l "art96"</w:instrText>
      </w:r>
      <w:r>
        <w:rPr>
          <w:rStyle w:val="Hyperlink"/>
          <w:sz w:val="24"/>
          <w:i w:val="false"/>
          <w:szCs w:val="24"/>
          <w:iCs w:val="false"/>
          <w:rFonts w:ascii="Times New Roman" w:hAnsi="Times New Roman"/>
          <w:color w:val="auto"/>
        </w:rPr>
        <w:fldChar w:fldCharType="separate"/>
      </w:r>
      <w:r>
        <w:rPr>
          <w:rStyle w:val="Hyperlink"/>
          <w:rFonts w:ascii="Times New Roman" w:hAnsi="Times New Roman"/>
          <w:i w:val="false"/>
          <w:iCs w:val="false"/>
          <w:color w:val="auto"/>
          <w:sz w:val="24"/>
          <w:szCs w:val="24"/>
        </w:rPr>
        <w:t>artigos 96 e seguintes da Lei nº 14.133, de 2021</w:t>
      </w:r>
      <w:r>
        <w:rPr>
          <w:rStyle w:val="Hyperlink"/>
          <w:sz w:val="24"/>
          <w:i w:val="false"/>
          <w:szCs w:val="24"/>
          <w:iCs w:val="false"/>
          <w:rFonts w:ascii="Times New Roman" w:hAnsi="Times New Roman"/>
          <w:color w:val="auto"/>
        </w:rPr>
        <w:fldChar w:fldCharType="end"/>
      </w:r>
      <w:r>
        <w:rPr>
          <w:rFonts w:ascii="Times New Roman" w:hAnsi="Times New Roman"/>
          <w:i w:val="false"/>
          <w:iCs w:val="false"/>
          <w:color w:val="auto"/>
          <w:sz w:val="24"/>
          <w:szCs w:val="24"/>
        </w:rPr>
        <w:t>, pelas razões constantes do Estudo Técnico Preliminar.</w:t>
      </w:r>
    </w:p>
    <w:p>
      <w:pPr>
        <w:pStyle w:val="Nivel01"/>
        <w:numPr>
          <w:ilvl w:val="0"/>
          <w:numId w:val="4"/>
        </w:numPr>
        <w:ind w:hanging="0" w:left="0"/>
        <w:rPr/>
      </w:pPr>
      <w:r>
        <w:rPr/>
        <w:t>MODELO DE EXECUÇÃO DO OBJETO</w:t>
      </w:r>
    </w:p>
    <w:p>
      <w:pPr>
        <w:pStyle w:val="Nvel1-SemNum"/>
        <w:ind w:hanging="0" w:left="0"/>
        <w:rPr>
          <w:color w:val="auto"/>
        </w:rPr>
      </w:pPr>
      <w:r>
        <w:rPr>
          <w:color w:val="auto"/>
        </w:rPr>
        <w:t>Condições de Entrega</w:t>
      </w:r>
    </w:p>
    <w:p>
      <w:pPr>
        <w:pStyle w:val="Nvel2-Red"/>
        <w:numPr>
          <w:ilvl w:val="1"/>
          <w:numId w:val="154"/>
        </w:numPr>
        <w:ind w:hanging="0" w:left="0"/>
        <w:rPr>
          <w:color w:val="auto"/>
        </w:rPr>
      </w:pPr>
      <w:r>
        <w:rPr>
          <w:rFonts w:ascii="Times New Roman" w:hAnsi="Times New Roman"/>
          <w:i w:val="false"/>
          <w:iCs w:val="false"/>
          <w:color w:val="auto"/>
          <w:sz w:val="24"/>
          <w:szCs w:val="24"/>
        </w:rPr>
        <w:t>O prazo de entrega dos bens é de 30</w:t>
      </w:r>
      <w:r>
        <w:rPr>
          <w:rFonts w:ascii="Times New Roman" w:hAnsi="Times New Roman"/>
          <w:b/>
          <w:bCs/>
          <w:i w:val="false"/>
          <w:iCs w:val="false"/>
          <w:color w:val="auto"/>
          <w:sz w:val="24"/>
          <w:szCs w:val="24"/>
        </w:rPr>
        <w:t xml:space="preserve"> (trinta) dias</w:t>
      </w:r>
      <w:r>
        <w:rPr>
          <w:rFonts w:ascii="Times New Roman" w:hAnsi="Times New Roman"/>
          <w:i w:val="false"/>
          <w:iCs w:val="false"/>
          <w:color w:val="auto"/>
          <w:sz w:val="24"/>
          <w:szCs w:val="24"/>
        </w:rPr>
        <w:t xml:space="preserve">, contados do(a) ateste de recebimento definitivo realizado pelo chefe do Almoxarifado, em remessa única. </w:t>
      </w:r>
    </w:p>
    <w:p>
      <w:pPr>
        <w:pStyle w:val="Nvel2-Red"/>
        <w:numPr>
          <w:ilvl w:val="1"/>
          <w:numId w:val="155"/>
        </w:numPr>
        <w:ind w:hanging="0" w:left="0"/>
        <w:rPr>
          <w:i w:val="false"/>
          <w:i w:val="false"/>
          <w:iCs w:val="false"/>
          <w:color w:val="auto"/>
        </w:rPr>
      </w:pPr>
      <w:r>
        <w:rPr>
          <w:rFonts w:ascii="Times New Roman" w:hAnsi="Times New Roman"/>
          <w:i w:val="false"/>
          <w:iCs w:val="false"/>
          <w:color w:val="auto"/>
          <w:sz w:val="24"/>
          <w:szCs w:val="24"/>
        </w:rPr>
        <w:t>Caso não seja possível a entrega na data assinalada, a empresa deverá comunicar as razões respectivas com pelo menos 10 (dez) dias de antecedência para que qualquer pleito de prorrogação de prazo seja analisado, ressalvadas situações de caso fortuito e força maior.</w:t>
      </w:r>
    </w:p>
    <w:p>
      <w:pPr>
        <w:pStyle w:val="Nivel2"/>
        <w:numPr>
          <w:ilvl w:val="1"/>
          <w:numId w:val="156"/>
        </w:numPr>
        <w:ind w:hanging="0" w:left="0"/>
        <w:rPr>
          <w:rFonts w:ascii="Times New Roman" w:hAnsi="Times New Roman"/>
          <w:color w:val="auto"/>
          <w:sz w:val="24"/>
          <w:szCs w:val="24"/>
        </w:rPr>
      </w:pPr>
      <w:r>
        <w:rPr>
          <w:rFonts w:ascii="Times New Roman" w:hAnsi="Times New Roman"/>
          <w:color w:val="auto"/>
          <w:sz w:val="24"/>
          <w:szCs w:val="24"/>
        </w:rPr>
        <w:t xml:space="preserve">Os bens deverão ser entregues no seguinte endereço: </w:t>
      </w:r>
    </w:p>
    <w:p>
      <w:pPr>
        <w:pStyle w:val="ListParagraph"/>
        <w:spacing w:lineRule="auto" w:line="360" w:before="120" w:after="120"/>
        <w:ind w:left="567"/>
        <w:contextualSpacing/>
        <w:jc w:val="both"/>
        <w:rPr/>
      </w:pPr>
      <w:r>
        <w:rPr>
          <w:rFonts w:cs="Arial" w:ascii="Times New Roman" w:hAnsi="Times New Roman"/>
        </w:rPr>
        <w:t>5.3.1 Av. Bernardo Sayão, s/n, Bairro Nova Imperatriz, Imperatriz-MA, CEP: 65.907-000, 50º Batalhão de Infantaria de Selva.</w:t>
      </w:r>
    </w:p>
    <w:p>
      <w:pPr>
        <w:pStyle w:val="Nvel1-SemNumPreto"/>
        <w:ind w:hanging="0" w:left="0"/>
        <w:rPr>
          <w:color w:val="auto"/>
        </w:rPr>
      </w:pPr>
      <w:r>
        <w:rPr>
          <w:color w:val="auto"/>
        </w:rPr>
        <w:t>Garantia, manutenção e assistência técnica</w:t>
      </w:r>
    </w:p>
    <w:p>
      <w:pPr>
        <w:pStyle w:val="Nvel2-Red"/>
        <w:numPr>
          <w:ilvl w:val="1"/>
          <w:numId w:val="157"/>
        </w:numPr>
        <w:ind w:hanging="0" w:left="0"/>
        <w:rPr>
          <w:color w:val="auto"/>
        </w:rPr>
      </w:pPr>
      <w:r>
        <w:rPr>
          <w:rFonts w:ascii="Times New Roman" w:hAnsi="Times New Roman"/>
          <w:i w:val="false"/>
          <w:iCs w:val="false"/>
          <w:color w:val="auto"/>
          <w:sz w:val="24"/>
          <w:szCs w:val="24"/>
        </w:rPr>
        <w:t>O prazo de garantia é aquele estabelecido na Lei nº 8.078, de 11 de setembro de 1990 (Código de Defesa do Consumidor)</w:t>
      </w:r>
    </w:p>
    <w:p>
      <w:pPr>
        <w:pStyle w:val="Nvel2-Red"/>
        <w:numPr>
          <w:ilvl w:val="1"/>
          <w:numId w:val="158"/>
        </w:numPr>
        <w:ind w:hanging="0" w:left="0"/>
        <w:rPr>
          <w:i w:val="false"/>
          <w:i w:val="false"/>
          <w:iCs w:val="false"/>
          <w:color w:val="auto"/>
        </w:rPr>
      </w:pPr>
      <w:r>
        <w:rPr>
          <w:rFonts w:ascii="Times New Roman" w:hAnsi="Times New Roman"/>
          <w:i w:val="false"/>
          <w:iCs w:val="false"/>
          <w:color w:val="auto"/>
          <w:sz w:val="24"/>
          <w:szCs w:val="24"/>
        </w:rPr>
        <w:t xml:space="preserve">A garantia será prestada com vistas a manter os equipamentos fornecidos em perfeitas condições de uso, sem qualquer ônus ou custo adicional para o Contratante. </w:t>
      </w:r>
    </w:p>
    <w:p>
      <w:pPr>
        <w:pStyle w:val="Nvel2-Red"/>
        <w:numPr>
          <w:ilvl w:val="1"/>
          <w:numId w:val="159"/>
        </w:numPr>
        <w:ind w:hanging="0" w:left="0"/>
        <w:rPr>
          <w:i w:val="false"/>
          <w:i w:val="false"/>
          <w:iCs w:val="false"/>
          <w:color w:val="auto"/>
        </w:rPr>
      </w:pPr>
      <w:r>
        <w:rPr>
          <w:rFonts w:ascii="Times New Roman" w:hAnsi="Times New Roman"/>
          <w:i w:val="false"/>
          <w:iCs w:val="false"/>
          <w:color w:val="auto"/>
          <w:sz w:val="24"/>
          <w:szCs w:val="24"/>
        </w:rPr>
        <w:t xml:space="preserve">A garantia abrange a realização da manutenção corretiva dos bens pelo próprio Contratado, ou, se for o caso, por meio de assistência técnica autorizada, de acordo com as normas técnicas específicas. </w:t>
      </w:r>
    </w:p>
    <w:p>
      <w:pPr>
        <w:pStyle w:val="Nvel2-Red"/>
        <w:numPr>
          <w:ilvl w:val="1"/>
          <w:numId w:val="160"/>
        </w:numPr>
        <w:ind w:hanging="0" w:left="0"/>
        <w:rPr>
          <w:i w:val="false"/>
          <w:i w:val="false"/>
          <w:iCs w:val="false"/>
          <w:color w:val="auto"/>
        </w:rPr>
      </w:pPr>
      <w:r>
        <w:rPr>
          <w:rFonts w:ascii="Times New Roman" w:hAnsi="Times New Roman"/>
          <w:i w:val="false"/>
          <w:iCs w:val="false"/>
          <w:color w:val="auto"/>
          <w:sz w:val="24"/>
          <w:szCs w:val="24"/>
        </w:rPr>
        <w:t xml:space="preserve">Entende-se por manutenção corretiva aquela destinada a corrigir os defeitos apresentados pelos bens, compreendendo a substituição de peças, a realização de ajustes, reparos e correções necessárias. </w:t>
      </w:r>
    </w:p>
    <w:p>
      <w:pPr>
        <w:pStyle w:val="Nvel2-Red"/>
        <w:numPr>
          <w:ilvl w:val="1"/>
          <w:numId w:val="161"/>
        </w:numPr>
        <w:ind w:hanging="0" w:left="0"/>
        <w:rPr>
          <w:i w:val="false"/>
          <w:i w:val="false"/>
          <w:iCs w:val="false"/>
          <w:color w:val="auto"/>
        </w:rPr>
      </w:pPr>
      <w:r>
        <w:rPr>
          <w:rFonts w:ascii="Times New Roman" w:hAnsi="Times New Roman"/>
          <w:i w:val="false"/>
          <w:iCs w:val="false"/>
          <w:color w:val="auto"/>
          <w:sz w:val="24"/>
          <w:szCs w:val="24"/>
        </w:rPr>
        <w:t xml:space="preserve">As peças que apresentarem vício ou defeito no período de vigência da garantia deverão ser substituídas por outras novas, de primeiro uso, e originais, que apresentem padrões de qualidade e desempenho iguais ou superiores aos das peças utilizadas na fabricação do equipamento. </w:t>
      </w:r>
    </w:p>
    <w:p>
      <w:pPr>
        <w:pStyle w:val="Nvel2-Red"/>
        <w:numPr>
          <w:ilvl w:val="1"/>
          <w:numId w:val="162"/>
        </w:numPr>
        <w:ind w:hanging="0" w:left="0"/>
        <w:rPr>
          <w:i w:val="false"/>
          <w:i w:val="false"/>
          <w:iCs w:val="false"/>
          <w:color w:val="auto"/>
        </w:rPr>
      </w:pPr>
      <w:r>
        <w:rPr>
          <w:rFonts w:ascii="Times New Roman" w:hAnsi="Times New Roman"/>
          <w:i w:val="false"/>
          <w:iCs w:val="false"/>
          <w:color w:val="auto"/>
          <w:sz w:val="24"/>
          <w:szCs w:val="24"/>
        </w:rPr>
        <w:t xml:space="preserve">Uma vez notificado, o Contratado realizará a reparação ou substituição dos bens que apresentarem vício ou defeito no prazo de até 30 (trinta) dias úteis, contados a partir da data de retirada do equipamento das dependências da Administração pelo Contratado ou pela assistência técnica autorizada. </w:t>
      </w:r>
    </w:p>
    <w:p>
      <w:pPr>
        <w:pStyle w:val="Nvel2-Red"/>
        <w:numPr>
          <w:ilvl w:val="1"/>
          <w:numId w:val="163"/>
        </w:numPr>
        <w:ind w:hanging="0" w:left="0"/>
        <w:rPr>
          <w:i w:val="false"/>
          <w:i w:val="false"/>
          <w:iCs w:val="false"/>
          <w:color w:val="auto"/>
        </w:rPr>
      </w:pPr>
      <w:r>
        <w:rPr>
          <w:rFonts w:ascii="Times New Roman" w:hAnsi="Times New Roman"/>
          <w:i w:val="false"/>
          <w:iCs w:val="false"/>
          <w:color w:val="auto"/>
          <w:sz w:val="24"/>
          <w:szCs w:val="24"/>
        </w:rPr>
        <w:t xml:space="preserve">O prazo indicado no subitem anterior, durante seu transcurso, poderá ser prorrogado uma única vez, por igual período, mediante solicitação escrita e justificada do Contratado, aceita pelo Contratante. </w:t>
      </w:r>
    </w:p>
    <w:p>
      <w:pPr>
        <w:pStyle w:val="Nvel2-Red"/>
        <w:numPr>
          <w:ilvl w:val="1"/>
          <w:numId w:val="164"/>
        </w:numPr>
        <w:ind w:hanging="0" w:left="0"/>
        <w:rPr>
          <w:i w:val="false"/>
          <w:i w:val="false"/>
          <w:iCs w:val="false"/>
          <w:color w:val="auto"/>
        </w:rPr>
      </w:pPr>
      <w:r>
        <w:rPr>
          <w:rFonts w:ascii="Times New Roman" w:hAnsi="Times New Roman"/>
          <w:i w:val="false"/>
          <w:iCs w:val="false"/>
          <w:color w:val="auto"/>
          <w:sz w:val="24"/>
          <w:szCs w:val="24"/>
        </w:rPr>
        <w:t xml:space="preserve">Na hipótese do subitem acima, o Contratado deverá disponibilizar equipamento equivalente, de especificação igual ou superior ao anteriormente fornecido, para utilização em caráter provisório pelo Contratante, de modo a garantir a continuidade dos trabalhos administrativos durante a execução dos reparos. </w:t>
      </w:r>
    </w:p>
    <w:p>
      <w:pPr>
        <w:pStyle w:val="Nvel2-Red"/>
        <w:numPr>
          <w:ilvl w:val="1"/>
          <w:numId w:val="165"/>
        </w:numPr>
        <w:ind w:hanging="0" w:left="0"/>
        <w:rPr>
          <w:i w:val="false"/>
          <w:i w:val="false"/>
          <w:iCs w:val="false"/>
          <w:color w:val="auto"/>
        </w:rPr>
      </w:pPr>
      <w:r>
        <w:rPr>
          <w:rFonts w:ascii="Times New Roman" w:hAnsi="Times New Roman"/>
          <w:i w:val="false"/>
          <w:iCs w:val="false"/>
          <w:color w:val="auto"/>
          <w:sz w:val="24"/>
          <w:szCs w:val="24"/>
        </w:rPr>
        <w:t xml:space="preserve">Decorrido o prazo para reparos e substituições sem o atendimento da solicitação do Contratante ou a apresentação de justificativas pelo Contratado, fica o Contratante autorizado a contratar empresa diversa para executar os reparos, ajustes ou a substituição do bem ou de seus componentes, bem como a exigir do Contratado o reembolso pelos custos respectivos, sem que tal fato acarrete a perda da garantia dos equipamentos. </w:t>
      </w:r>
    </w:p>
    <w:p>
      <w:pPr>
        <w:pStyle w:val="Nvel2-Red"/>
        <w:numPr>
          <w:ilvl w:val="1"/>
          <w:numId w:val="166"/>
        </w:numPr>
        <w:ind w:hanging="0" w:left="0"/>
        <w:rPr>
          <w:i w:val="false"/>
          <w:i w:val="false"/>
          <w:iCs w:val="false"/>
          <w:color w:val="auto"/>
        </w:rPr>
      </w:pPr>
      <w:r>
        <w:rPr>
          <w:rFonts w:ascii="Times New Roman" w:hAnsi="Times New Roman"/>
          <w:i w:val="false"/>
          <w:iCs w:val="false"/>
          <w:color w:val="auto"/>
          <w:sz w:val="24"/>
          <w:szCs w:val="24"/>
        </w:rPr>
        <w:t xml:space="preserve">O custo referente ao transporte dos equipamentos cobertos pela garantia será de responsabilidade do Contratado. </w:t>
      </w:r>
    </w:p>
    <w:p>
      <w:pPr>
        <w:pStyle w:val="Nvel2-Red"/>
        <w:numPr>
          <w:ilvl w:val="1"/>
          <w:numId w:val="167"/>
        </w:numPr>
        <w:ind w:hanging="0" w:left="0"/>
        <w:rPr>
          <w:i w:val="false"/>
          <w:i w:val="false"/>
          <w:iCs w:val="false"/>
          <w:color w:val="auto"/>
        </w:rPr>
      </w:pPr>
      <w:r>
        <w:rPr>
          <w:rFonts w:ascii="Times New Roman" w:hAnsi="Times New Roman"/>
          <w:i w:val="false"/>
          <w:iCs w:val="false"/>
          <w:color w:val="auto"/>
          <w:sz w:val="24"/>
          <w:szCs w:val="24"/>
        </w:rPr>
        <w:t>A garantia legal ou contratual do objeto tem prazo de vigência próprio e desvinculado daquele fixado no contrato, permitindo eventual aplicação de penalidades em caso de descumprimento de alguma de suas condições, mesmo depois de expirada a vigência contratual.</w:t>
      </w:r>
    </w:p>
    <w:p>
      <w:pPr>
        <w:pStyle w:val="Nivel01"/>
        <w:numPr>
          <w:ilvl w:val="0"/>
          <w:numId w:val="4"/>
        </w:numPr>
        <w:ind w:hanging="0" w:left="0"/>
        <w:rPr/>
      </w:pPr>
      <w:r>
        <w:rPr/>
        <w:t>MODELO DE GESTÃO DO CONTRATO</w:t>
      </w:r>
    </w:p>
    <w:p>
      <w:pPr>
        <w:pStyle w:val="Nivel2"/>
        <w:numPr>
          <w:ilvl w:val="1"/>
          <w:numId w:val="168"/>
        </w:numPr>
        <w:ind w:hanging="0" w:left="0"/>
        <w:rPr>
          <w:rFonts w:ascii="Times New Roman" w:hAnsi="Times New Roman"/>
          <w:color w:val="auto"/>
          <w:sz w:val="24"/>
          <w:szCs w:val="24"/>
        </w:rPr>
      </w:pPr>
      <w:r>
        <w:rPr>
          <w:rFonts w:ascii="Times New Roman" w:hAnsi="Times New Roman"/>
          <w:color w:val="auto"/>
          <w:sz w:val="24"/>
          <w:szCs w:val="24"/>
        </w:rPr>
        <w:t>O contrato deverá ser executado fielmente pelas partes, de acordo com as cláusulas avençadas e as normas da Lei nº 14.133, de 2021, e cada parte responderá pelas consequências de sua inexecução total ou parcial.</w:t>
      </w:r>
    </w:p>
    <w:p>
      <w:pPr>
        <w:pStyle w:val="Nivel2"/>
        <w:numPr>
          <w:ilvl w:val="1"/>
          <w:numId w:val="169"/>
        </w:numPr>
        <w:ind w:hanging="0" w:left="0"/>
        <w:rPr>
          <w:rFonts w:ascii="Times New Roman" w:hAnsi="Times New Roman"/>
          <w:color w:val="auto"/>
          <w:sz w:val="24"/>
          <w:szCs w:val="24"/>
        </w:rPr>
      </w:pPr>
      <w:r>
        <w:rPr>
          <w:rFonts w:ascii="Times New Roman" w:hAnsi="Times New Roman"/>
          <w:color w:val="auto"/>
          <w:sz w:val="24"/>
          <w:szCs w:val="24"/>
        </w:rPr>
        <w:t>Em caso de impedimento, ordem de paralisação ou suspensão do contrato, o cronograma de execução será prorrogado automaticamente pelo tempo correspondente, anotadas tais circunstâncias mediante simples apostila.</w:t>
      </w:r>
    </w:p>
    <w:p>
      <w:pPr>
        <w:pStyle w:val="Nivel2"/>
        <w:numPr>
          <w:ilvl w:val="1"/>
          <w:numId w:val="170"/>
        </w:numPr>
        <w:ind w:hanging="0" w:left="0"/>
        <w:rPr>
          <w:rFonts w:ascii="Times New Roman" w:hAnsi="Times New Roman"/>
          <w:color w:val="auto"/>
          <w:sz w:val="24"/>
          <w:szCs w:val="24"/>
        </w:rPr>
      </w:pPr>
      <w:r>
        <w:rPr>
          <w:rFonts w:ascii="Times New Roman" w:hAnsi="Times New Roman"/>
          <w:color w:val="auto"/>
          <w:sz w:val="24"/>
          <w:szCs w:val="24"/>
        </w:rPr>
        <w:t>As comunicações entre o órgão ou entidade e a contratada devem ser realizadas por escrito sempre que o ato exigir tal formalidade, admitindo-se o uso de mensagem eletrônica para esse fim.</w:t>
      </w:r>
    </w:p>
    <w:p>
      <w:pPr>
        <w:pStyle w:val="Nivel2"/>
        <w:numPr>
          <w:ilvl w:val="1"/>
          <w:numId w:val="171"/>
        </w:numPr>
        <w:ind w:hanging="0" w:left="0"/>
        <w:rPr>
          <w:rFonts w:ascii="Times New Roman" w:hAnsi="Times New Roman"/>
          <w:color w:val="auto"/>
          <w:sz w:val="24"/>
          <w:szCs w:val="24"/>
        </w:rPr>
      </w:pPr>
      <w:r>
        <w:rPr>
          <w:rFonts w:ascii="Times New Roman" w:hAnsi="Times New Roman"/>
          <w:color w:val="auto"/>
          <w:sz w:val="24"/>
          <w:szCs w:val="24"/>
        </w:rPr>
        <w:t>O órgão ou entidade poderá convocar representante da empresa para adoção de providências que devam ser cumpridas de imediato.</w:t>
      </w:r>
    </w:p>
    <w:p>
      <w:pPr>
        <w:pStyle w:val="Nivel2"/>
        <w:numPr>
          <w:ilvl w:val="1"/>
          <w:numId w:val="172"/>
        </w:numPr>
        <w:ind w:hanging="0" w:left="0"/>
        <w:rPr>
          <w:rFonts w:ascii="Times New Roman" w:hAnsi="Times New Roman"/>
          <w:color w:val="auto"/>
          <w:sz w:val="24"/>
          <w:szCs w:val="24"/>
        </w:rPr>
      </w:pPr>
      <w:r>
        <w:rPr>
          <w:rFonts w:ascii="Times New Roman" w:hAnsi="Times New Roman"/>
          <w:color w:val="auto"/>
          <w:sz w:val="24"/>
          <w:szCs w:val="24"/>
        </w:rPr>
        <w:t xml:space="preserve"> </w:t>
      </w:r>
      <w:r>
        <w:rPr>
          <w:rFonts w:ascii="Times New Roman" w:hAnsi="Times New Roman"/>
          <w:color w:val="auto"/>
          <w:sz w:val="24"/>
          <w:szCs w:val="24"/>
        </w:rPr>
        <w:t>Após a assinatura do contrato ou instrumento equivalente</w:t>
      </w:r>
      <w:r>
        <w:rPr>
          <w:rFonts w:ascii="Times New Roman" w:hAnsi="Times New Roman"/>
          <w:strike/>
          <w:color w:val="auto"/>
          <w:sz w:val="24"/>
          <w:szCs w:val="24"/>
        </w:rPr>
        <w:t>,</w:t>
      </w:r>
      <w:r>
        <w:rPr>
          <w:rFonts w:ascii="Times New Roman" w:hAnsi="Times New Roman"/>
          <w:color w:val="auto"/>
          <w:sz w:val="24"/>
          <w:szCs w:val="24"/>
        </w:rPr>
        <w:t xml:space="preserv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pPr>
        <w:pStyle w:val="Nivel2"/>
        <w:numPr>
          <w:ilvl w:val="0"/>
          <w:numId w:val="0"/>
        </w:numPr>
        <w:ind w:hanging="0" w:left="0"/>
        <w:rPr>
          <w:rFonts w:ascii="Times New Roman" w:hAnsi="Times New Roman"/>
          <w:color w:val="auto"/>
          <w:sz w:val="24"/>
          <w:szCs w:val="24"/>
        </w:rPr>
      </w:pPr>
      <w:r>
        <w:rPr>
          <w:rFonts w:ascii="Times New Roman" w:hAnsi="Times New Roman"/>
          <w:b/>
          <w:bCs/>
          <w:color w:val="auto"/>
          <w:sz w:val="24"/>
          <w:szCs w:val="24"/>
        </w:rPr>
        <w:t>Fiscalização</w:t>
      </w:r>
    </w:p>
    <w:p>
      <w:pPr>
        <w:pStyle w:val="Nivel2"/>
        <w:numPr>
          <w:ilvl w:val="1"/>
          <w:numId w:val="173"/>
        </w:numPr>
        <w:ind w:hanging="0" w:left="0"/>
        <w:rPr>
          <w:color w:val="auto"/>
        </w:rPr>
      </w:pPr>
      <w:r>
        <w:rPr>
          <w:rFonts w:ascii="Times New Roman" w:hAnsi="Times New Roman"/>
          <w:color w:val="auto"/>
          <w:sz w:val="24"/>
          <w:szCs w:val="24"/>
        </w:rPr>
        <w:t>A execução do contrato deverá ser acompanhada e fiscalizada pelo(s) fiscal(is) do contrato, ou pelos respectivos substitutos (</w:t>
      </w:r>
      <w:r>
        <w:fldChar w:fldCharType="begin"/>
      </w:r>
      <w:r>
        <w:rPr>
          <w:rStyle w:val="Hyperlink"/>
          <w:sz w:val="24"/>
          <w:szCs w:val="24"/>
          <w:rFonts w:ascii="Times New Roman" w:hAnsi="Times New Roman"/>
          <w:color w:val="auto"/>
        </w:rPr>
        <w:instrText xml:space="preserve"> HYPERLINK "http://www.planalto.gov.br/ccivil_03/_ato2019-2022/2021/lei/L14133.htm" \l "art117"</w:instrText>
      </w:r>
      <w:r>
        <w:rPr>
          <w:rStyle w:val="Hyperlink"/>
          <w:sz w:val="24"/>
          <w:szCs w:val="24"/>
          <w:rFonts w:ascii="Times New Roman" w:hAnsi="Times New Roman"/>
          <w:color w:val="auto"/>
        </w:rPr>
        <w:fldChar w:fldCharType="separate"/>
      </w:r>
      <w:r>
        <w:rPr>
          <w:rStyle w:val="Hyperlink"/>
          <w:rFonts w:ascii="Times New Roman" w:hAnsi="Times New Roman"/>
          <w:color w:val="auto"/>
          <w:sz w:val="24"/>
          <w:szCs w:val="24"/>
        </w:rPr>
        <w:t>Lei nº 14.133, de 2021, art. 117, caput</w:t>
      </w:r>
      <w:r>
        <w:rPr>
          <w:rStyle w:val="Hyperlink"/>
          <w:sz w:val="24"/>
          <w:szCs w:val="24"/>
          <w:rFonts w:ascii="Times New Roman" w:hAnsi="Times New Roman"/>
          <w:color w:val="auto"/>
        </w:rPr>
        <w:fldChar w:fldCharType="end"/>
      </w:r>
      <w:r>
        <w:rPr>
          <w:rFonts w:ascii="Times New Roman" w:hAnsi="Times New Roman"/>
          <w:color w:val="auto"/>
          <w:sz w:val="24"/>
          <w:szCs w:val="24"/>
        </w:rPr>
        <w:t>).</w:t>
      </w:r>
    </w:p>
    <w:p>
      <w:pPr>
        <w:pStyle w:val="Nvel1-SemNumPreto"/>
        <w:ind w:hanging="0" w:left="0"/>
        <w:rPr>
          <w:color w:val="auto"/>
        </w:rPr>
      </w:pPr>
      <w:r>
        <w:rPr>
          <w:color w:val="auto"/>
        </w:rPr>
        <w:t>Fiscalização Técnica</w:t>
      </w:r>
    </w:p>
    <w:p>
      <w:pPr>
        <w:pStyle w:val="Nivel2"/>
        <w:numPr>
          <w:ilvl w:val="1"/>
          <w:numId w:val="174"/>
        </w:numPr>
        <w:ind w:hanging="0" w:left="0"/>
        <w:rPr>
          <w:rFonts w:ascii="Times New Roman" w:hAnsi="Times New Roman"/>
          <w:color w:val="auto"/>
          <w:sz w:val="24"/>
          <w:szCs w:val="24"/>
        </w:rPr>
      </w:pPr>
      <w:r>
        <w:rPr>
          <w:rFonts w:ascii="Times New Roman" w:hAnsi="Times New Roman"/>
          <w:color w:val="auto"/>
          <w:sz w:val="24"/>
          <w:szCs w:val="24"/>
        </w:rPr>
        <w:t>O fiscal técnico do contrato acompanhará a execução do contrato, para que sejam cumpridas todas as condições estabelecidas no contrato, de modo a assegurar os melhores resultados para a Administração. (Decreto nº 11.246, de 2022, art. 22, VI);</w:t>
      </w:r>
    </w:p>
    <w:p>
      <w:pPr>
        <w:pStyle w:val="Nivel3"/>
        <w:numPr>
          <w:ilvl w:val="2"/>
          <w:numId w:val="175"/>
        </w:numPr>
        <w:ind w:hanging="0" w:left="284"/>
        <w:rPr>
          <w:color w:val="auto"/>
        </w:rPr>
      </w:pPr>
      <w:r>
        <w:rPr>
          <w:rFonts w:ascii="Times New Roman" w:hAnsi="Times New Roman"/>
          <w:color w:val="auto"/>
          <w:sz w:val="24"/>
          <w:szCs w:val="24"/>
        </w:rPr>
        <w:t>O fiscal técnico do contrato anotará no histórico de gerenciamento do contrato todas as ocorrências relacionadas à execução do contrato, com a descrição do que for necessário para a regularização das faltas ou dos defeitos observados. (</w:t>
      </w:r>
      <w:r>
        <w:fldChar w:fldCharType="begin"/>
      </w:r>
      <w:r>
        <w:rPr>
          <w:rStyle w:val="Hyperlink"/>
          <w:sz w:val="24"/>
          <w:szCs w:val="24"/>
          <w:rFonts w:ascii="Times New Roman" w:hAnsi="Times New Roman"/>
          <w:color w:val="auto"/>
        </w:rPr>
        <w:instrText xml:space="preserve"> HYPERLINK "http://www.planalto.gov.br/ccivil_03/_ato2019-2022/2021/lei/L14133.htm" \l "art117§1"</w:instrText>
      </w:r>
      <w:r>
        <w:rPr>
          <w:rStyle w:val="Hyperlink"/>
          <w:sz w:val="24"/>
          <w:szCs w:val="24"/>
          <w:rFonts w:ascii="Times New Roman" w:hAnsi="Times New Roman"/>
          <w:color w:val="auto"/>
        </w:rPr>
        <w:fldChar w:fldCharType="separate"/>
      </w:r>
      <w:r>
        <w:rPr>
          <w:rStyle w:val="Hyperlink"/>
          <w:rFonts w:ascii="Times New Roman" w:hAnsi="Times New Roman"/>
          <w:color w:val="auto"/>
          <w:sz w:val="24"/>
          <w:szCs w:val="24"/>
        </w:rPr>
        <w:t>Lei nº 14.133, de 2021, art. 117, §1º</w:t>
      </w:r>
      <w:r>
        <w:rPr>
          <w:rStyle w:val="Hyperlink"/>
          <w:sz w:val="24"/>
          <w:szCs w:val="24"/>
          <w:rFonts w:ascii="Times New Roman" w:hAnsi="Times New Roman"/>
          <w:color w:val="auto"/>
        </w:rPr>
        <w:fldChar w:fldCharType="end"/>
      </w:r>
      <w:r>
        <w:rPr>
          <w:rFonts w:ascii="Times New Roman" w:hAnsi="Times New Roman"/>
          <w:color w:val="auto"/>
          <w:sz w:val="24"/>
          <w:szCs w:val="24"/>
        </w:rPr>
        <w:t xml:space="preserve">, e </w:t>
      </w:r>
      <w:r>
        <w:fldChar w:fldCharType="begin"/>
      </w:r>
      <w:r>
        <w:rPr>
          <w:rStyle w:val="Hyperlink"/>
          <w:sz w:val="24"/>
          <w:szCs w:val="24"/>
          <w:rFonts w:ascii="Times New Roman" w:hAnsi="Times New Roman"/>
          <w:color w:val="auto"/>
        </w:rPr>
        <w:instrText xml:space="preserve"> HYPERLINK "https://www.planalto.gov.br/ccivil_03/_ato2019-2022/2022/Decreto/D11246.htm" \l "art22"</w:instrText>
      </w:r>
      <w:r>
        <w:rPr>
          <w:rStyle w:val="Hyperlink"/>
          <w:sz w:val="24"/>
          <w:szCs w:val="24"/>
          <w:rFonts w:ascii="Times New Roman" w:hAnsi="Times New Roman"/>
          <w:color w:val="auto"/>
        </w:rPr>
        <w:fldChar w:fldCharType="separate"/>
      </w:r>
      <w:r>
        <w:rPr>
          <w:rStyle w:val="Hyperlink"/>
          <w:rFonts w:ascii="Times New Roman" w:hAnsi="Times New Roman"/>
          <w:color w:val="auto"/>
          <w:sz w:val="24"/>
          <w:szCs w:val="24"/>
        </w:rPr>
        <w:t>Decreto nº 11.246, de 2022, art. 22, II);</w:t>
      </w:r>
      <w:r>
        <w:rPr>
          <w:rStyle w:val="Hyperlink"/>
          <w:sz w:val="24"/>
          <w:szCs w:val="24"/>
          <w:rFonts w:ascii="Times New Roman" w:hAnsi="Times New Roman"/>
          <w:color w:val="auto"/>
        </w:rPr>
        <w:fldChar w:fldCharType="end"/>
      </w:r>
    </w:p>
    <w:p>
      <w:pPr>
        <w:pStyle w:val="Nivel3"/>
        <w:numPr>
          <w:ilvl w:val="2"/>
          <w:numId w:val="176"/>
        </w:numPr>
        <w:ind w:hanging="0" w:left="284"/>
        <w:rPr>
          <w:color w:val="auto"/>
        </w:rPr>
      </w:pPr>
      <w:r>
        <w:rPr>
          <w:rFonts w:ascii="Times New Roman" w:hAnsi="Times New Roman"/>
          <w:color w:val="auto"/>
          <w:sz w:val="24"/>
          <w:szCs w:val="24"/>
        </w:rPr>
        <w:t>Identificada qualquer inexatidão ou irregularidade, o fiscal técnico do contrato emitirá notificações para a correção da execução do contrato, determinando prazo para a correção. (</w:t>
      </w:r>
      <w:r>
        <w:fldChar w:fldCharType="begin"/>
      </w:r>
      <w:r>
        <w:rPr>
          <w:rStyle w:val="Hyperlink"/>
          <w:sz w:val="24"/>
          <w:szCs w:val="24"/>
          <w:rFonts w:ascii="Times New Roman" w:hAnsi="Times New Roman"/>
          <w:color w:val="auto"/>
        </w:rPr>
        <w:instrText xml:space="preserve"> HYPERLINK "https://www.planalto.gov.br/ccivil_03/_ato2019-2022/2022/Decreto/D11246.htm" \l "art22"</w:instrText>
      </w:r>
      <w:r>
        <w:rPr>
          <w:rStyle w:val="Hyperlink"/>
          <w:sz w:val="24"/>
          <w:szCs w:val="24"/>
          <w:rFonts w:ascii="Times New Roman" w:hAnsi="Times New Roman"/>
          <w:color w:val="auto"/>
        </w:rPr>
        <w:fldChar w:fldCharType="separate"/>
      </w:r>
      <w:r>
        <w:rPr>
          <w:rStyle w:val="Hyperlink"/>
          <w:rFonts w:ascii="Times New Roman" w:hAnsi="Times New Roman"/>
          <w:color w:val="auto"/>
          <w:sz w:val="24"/>
          <w:szCs w:val="24"/>
        </w:rPr>
        <w:t>Decreto nº 11.246, de 2022, art. 22, III</w:t>
      </w:r>
      <w:r>
        <w:rPr>
          <w:rStyle w:val="Hyperlink"/>
          <w:sz w:val="24"/>
          <w:szCs w:val="24"/>
          <w:rFonts w:ascii="Times New Roman" w:hAnsi="Times New Roman"/>
          <w:color w:val="auto"/>
        </w:rPr>
        <w:fldChar w:fldCharType="end"/>
      </w:r>
      <w:r>
        <w:rPr>
          <w:rFonts w:ascii="Times New Roman" w:hAnsi="Times New Roman"/>
          <w:color w:val="auto"/>
          <w:sz w:val="24"/>
          <w:szCs w:val="24"/>
        </w:rPr>
        <w:t xml:space="preserve">); </w:t>
      </w:r>
    </w:p>
    <w:p>
      <w:pPr>
        <w:pStyle w:val="Nivel3"/>
        <w:numPr>
          <w:ilvl w:val="2"/>
          <w:numId w:val="177"/>
        </w:numPr>
        <w:ind w:hanging="0" w:left="284"/>
        <w:rPr>
          <w:color w:val="auto"/>
        </w:rPr>
      </w:pPr>
      <w:r>
        <w:rPr>
          <w:rFonts w:ascii="Times New Roman" w:hAnsi="Times New Roman"/>
          <w:color w:val="auto"/>
          <w:sz w:val="24"/>
          <w:szCs w:val="24"/>
        </w:rPr>
        <w:t>O fiscal técnico do contrato informará ao gestor do contato, em tempo hábil, a situação que demandar decisão ou adoção de medidas que ultrapassem sua competência, para que adote as medidas necessárias e saneadoras, se for o caso. (</w:t>
      </w:r>
      <w:r>
        <w:fldChar w:fldCharType="begin"/>
      </w:r>
      <w:r>
        <w:rPr>
          <w:rStyle w:val="Hyperlink"/>
          <w:sz w:val="24"/>
          <w:szCs w:val="24"/>
          <w:rFonts w:ascii="Times New Roman" w:hAnsi="Times New Roman"/>
          <w:color w:val="auto"/>
        </w:rPr>
        <w:instrText xml:space="preserve"> HYPERLINK "https://www.planalto.gov.br/ccivil_03/_ato2019-2022/2022/Decreto/D11246.htm" \l "art22"</w:instrText>
      </w:r>
      <w:r>
        <w:rPr>
          <w:rStyle w:val="Hyperlink"/>
          <w:sz w:val="24"/>
          <w:szCs w:val="24"/>
          <w:rFonts w:ascii="Times New Roman" w:hAnsi="Times New Roman"/>
          <w:color w:val="auto"/>
        </w:rPr>
        <w:fldChar w:fldCharType="separate"/>
      </w:r>
      <w:r>
        <w:rPr>
          <w:rStyle w:val="Hyperlink"/>
          <w:rFonts w:ascii="Times New Roman" w:hAnsi="Times New Roman"/>
          <w:color w:val="auto"/>
          <w:sz w:val="24"/>
          <w:szCs w:val="24"/>
        </w:rPr>
        <w:t>Decreto nº 11.246, de 2022, art. 22, IV</w:t>
      </w:r>
      <w:r>
        <w:rPr>
          <w:rStyle w:val="Hyperlink"/>
          <w:sz w:val="24"/>
          <w:szCs w:val="24"/>
          <w:rFonts w:ascii="Times New Roman" w:hAnsi="Times New Roman"/>
          <w:color w:val="auto"/>
        </w:rPr>
        <w:fldChar w:fldCharType="end"/>
      </w:r>
      <w:r>
        <w:rPr>
          <w:rFonts w:ascii="Times New Roman" w:hAnsi="Times New Roman"/>
          <w:color w:val="auto"/>
          <w:sz w:val="24"/>
          <w:szCs w:val="24"/>
        </w:rPr>
        <w:t>).</w:t>
      </w:r>
    </w:p>
    <w:p>
      <w:pPr>
        <w:pStyle w:val="Nivel3"/>
        <w:numPr>
          <w:ilvl w:val="2"/>
          <w:numId w:val="178"/>
        </w:numPr>
        <w:ind w:hanging="0" w:left="284"/>
        <w:rPr>
          <w:color w:val="auto"/>
        </w:rPr>
      </w:pPr>
      <w:r>
        <w:rPr>
          <w:rFonts w:ascii="Times New Roman" w:hAnsi="Times New Roman"/>
          <w:color w:val="auto"/>
          <w:sz w:val="24"/>
          <w:szCs w:val="24"/>
        </w:rPr>
        <w:t>No caso de ocorrências que possam inviabilizar a execução do contrato nas datas aprazadas, o fiscal técnico do contrato comunicará o fato imediatamente ao gestor do contrato. (</w:t>
      </w:r>
      <w:r>
        <w:fldChar w:fldCharType="begin"/>
      </w:r>
      <w:r>
        <w:rPr>
          <w:rStyle w:val="Hyperlink"/>
          <w:sz w:val="24"/>
          <w:szCs w:val="24"/>
          <w:rFonts w:ascii="Times New Roman" w:hAnsi="Times New Roman"/>
          <w:color w:val="auto"/>
        </w:rPr>
        <w:instrText xml:space="preserve"> HYPERLINK "https://www.planalto.gov.br/ccivil_03/_ato2019-2022/2022/Decreto/D11246.htm" \l "art22"</w:instrText>
      </w:r>
      <w:r>
        <w:rPr>
          <w:rStyle w:val="Hyperlink"/>
          <w:sz w:val="24"/>
          <w:szCs w:val="24"/>
          <w:rFonts w:ascii="Times New Roman" w:hAnsi="Times New Roman"/>
          <w:color w:val="auto"/>
        </w:rPr>
        <w:fldChar w:fldCharType="separate"/>
      </w:r>
      <w:r>
        <w:rPr>
          <w:rStyle w:val="Hyperlink"/>
          <w:rFonts w:ascii="Times New Roman" w:hAnsi="Times New Roman"/>
          <w:color w:val="auto"/>
          <w:sz w:val="24"/>
          <w:szCs w:val="24"/>
        </w:rPr>
        <w:t>Decreto nº 11.246, de 2022, art. 22, V</w:t>
      </w:r>
      <w:r>
        <w:rPr>
          <w:rStyle w:val="Hyperlink"/>
          <w:sz w:val="24"/>
          <w:szCs w:val="24"/>
          <w:rFonts w:ascii="Times New Roman" w:hAnsi="Times New Roman"/>
          <w:color w:val="auto"/>
        </w:rPr>
        <w:fldChar w:fldCharType="end"/>
      </w:r>
      <w:r>
        <w:rPr>
          <w:rFonts w:ascii="Times New Roman" w:hAnsi="Times New Roman"/>
          <w:color w:val="auto"/>
          <w:sz w:val="24"/>
          <w:szCs w:val="24"/>
        </w:rPr>
        <w:t>).</w:t>
      </w:r>
    </w:p>
    <w:p>
      <w:pPr>
        <w:pStyle w:val="Nivel3"/>
        <w:numPr>
          <w:ilvl w:val="2"/>
          <w:numId w:val="179"/>
        </w:numPr>
        <w:ind w:hanging="0" w:left="284"/>
        <w:rPr>
          <w:color w:val="auto"/>
        </w:rPr>
      </w:pPr>
      <w:r>
        <w:rPr>
          <w:rFonts w:ascii="Times New Roman" w:hAnsi="Times New Roman"/>
          <w:color w:val="auto"/>
          <w:sz w:val="24"/>
          <w:szCs w:val="24"/>
        </w:rPr>
        <w:t xml:space="preserve">O fiscal técnico do contrato comunicará ao gestor do contrato, em tempo hábil, o término do contrato sob sua responsabilidade, com vistas à renovação tempestiva ou à prorrogação contratual </w:t>
      </w:r>
      <w:r>
        <w:fldChar w:fldCharType="begin"/>
      </w:r>
      <w:r>
        <w:rPr>
          <w:rStyle w:val="Hyperlink"/>
          <w:sz w:val="24"/>
          <w:szCs w:val="24"/>
          <w:rFonts w:ascii="Times New Roman" w:hAnsi="Times New Roman"/>
          <w:color w:val="auto"/>
        </w:rPr>
        <w:instrText xml:space="preserve"> HYPERLINK "https://www.planalto.gov.br/ccivil_03/_ato2019-2022/2022/Decreto/D11246.htm" \l "art22"</w:instrText>
      </w:r>
      <w:r>
        <w:rPr>
          <w:rStyle w:val="Hyperlink"/>
          <w:sz w:val="24"/>
          <w:szCs w:val="24"/>
          <w:rFonts w:ascii="Times New Roman" w:hAnsi="Times New Roman"/>
          <w:color w:val="auto"/>
        </w:rPr>
        <w:fldChar w:fldCharType="separate"/>
      </w:r>
      <w:r>
        <w:rPr>
          <w:rStyle w:val="Hyperlink"/>
          <w:rFonts w:ascii="Times New Roman" w:hAnsi="Times New Roman"/>
          <w:color w:val="auto"/>
          <w:sz w:val="24"/>
          <w:szCs w:val="24"/>
        </w:rPr>
        <w:t>(Decreto nº 11.246, de 2022, art. 22, VII</w:t>
      </w:r>
      <w:r>
        <w:rPr>
          <w:rStyle w:val="Hyperlink"/>
          <w:sz w:val="24"/>
          <w:szCs w:val="24"/>
          <w:rFonts w:ascii="Times New Roman" w:hAnsi="Times New Roman"/>
          <w:color w:val="auto"/>
        </w:rPr>
        <w:fldChar w:fldCharType="end"/>
      </w:r>
      <w:r>
        <w:rPr>
          <w:rFonts w:ascii="Times New Roman" w:hAnsi="Times New Roman"/>
          <w:color w:val="auto"/>
          <w:sz w:val="24"/>
          <w:szCs w:val="24"/>
        </w:rPr>
        <w:t>).</w:t>
      </w:r>
    </w:p>
    <w:p>
      <w:pPr>
        <w:pStyle w:val="Nivel3"/>
        <w:numPr>
          <w:ilvl w:val="0"/>
          <w:numId w:val="0"/>
        </w:numPr>
        <w:ind w:hanging="0" w:left="0"/>
        <w:rPr>
          <w:rFonts w:ascii="Times New Roman" w:hAnsi="Times New Roman"/>
          <w:b/>
          <w:color w:val="auto"/>
          <w:sz w:val="24"/>
          <w:szCs w:val="24"/>
        </w:rPr>
      </w:pPr>
      <w:r>
        <w:rPr>
          <w:rFonts w:ascii="Times New Roman" w:hAnsi="Times New Roman"/>
          <w:b/>
          <w:color w:val="auto"/>
          <w:sz w:val="24"/>
          <w:szCs w:val="24"/>
        </w:rPr>
        <w:t>Fiscalização Administrativa</w:t>
      </w:r>
    </w:p>
    <w:p>
      <w:pPr>
        <w:pStyle w:val="Nivel2"/>
        <w:numPr>
          <w:ilvl w:val="1"/>
          <w:numId w:val="180"/>
        </w:numPr>
        <w:ind w:hanging="0" w:left="0"/>
        <w:rPr>
          <w:color w:val="auto"/>
        </w:rPr>
      </w:pPr>
      <w:r>
        <w:rPr>
          <w:rFonts w:ascii="Times New Roman" w:hAnsi="Times New Roman"/>
          <w:color w:val="auto"/>
          <w:sz w:val="24"/>
          <w:szCs w:val="24"/>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 (</w:t>
      </w:r>
      <w:r>
        <w:fldChar w:fldCharType="begin"/>
      </w:r>
      <w:r>
        <w:rPr>
          <w:rStyle w:val="Hyperlink"/>
          <w:sz w:val="24"/>
          <w:szCs w:val="24"/>
          <w:rFonts w:ascii="Times New Roman" w:hAnsi="Times New Roman"/>
          <w:color w:val="auto"/>
        </w:rPr>
        <w:instrText xml:space="preserve"> HYPERLINK "https://www.planalto.gov.br/ccivil_03/_ato2019-2022/2022/Decreto/D11246.htm" \l "art23"</w:instrText>
      </w:r>
      <w:r>
        <w:rPr>
          <w:rStyle w:val="Hyperlink"/>
          <w:sz w:val="24"/>
          <w:szCs w:val="24"/>
          <w:rFonts w:ascii="Times New Roman" w:hAnsi="Times New Roman"/>
          <w:color w:val="auto"/>
        </w:rPr>
        <w:fldChar w:fldCharType="separate"/>
      </w:r>
      <w:r>
        <w:rPr>
          <w:rStyle w:val="Hyperlink"/>
          <w:rFonts w:ascii="Times New Roman" w:hAnsi="Times New Roman"/>
          <w:color w:val="auto"/>
          <w:sz w:val="24"/>
          <w:szCs w:val="24"/>
        </w:rPr>
        <w:t>Art. 23, I e II, do Decreto nº 11.246, de 2022</w:t>
      </w:r>
      <w:r>
        <w:rPr>
          <w:rStyle w:val="Hyperlink"/>
          <w:sz w:val="24"/>
          <w:szCs w:val="24"/>
          <w:rFonts w:ascii="Times New Roman" w:hAnsi="Times New Roman"/>
          <w:color w:val="auto"/>
        </w:rPr>
        <w:fldChar w:fldCharType="end"/>
      </w:r>
      <w:r>
        <w:rPr>
          <w:rFonts w:ascii="Times New Roman" w:hAnsi="Times New Roman"/>
          <w:color w:val="auto"/>
          <w:sz w:val="24"/>
          <w:szCs w:val="24"/>
        </w:rPr>
        <w:t>).</w:t>
      </w:r>
    </w:p>
    <w:p>
      <w:pPr>
        <w:pStyle w:val="Nivel3"/>
        <w:numPr>
          <w:ilvl w:val="2"/>
          <w:numId w:val="181"/>
        </w:numPr>
        <w:ind w:hanging="0" w:left="284"/>
        <w:rPr>
          <w:color w:val="auto"/>
        </w:rPr>
      </w:pPr>
      <w:r>
        <w:rPr>
          <w:rFonts w:ascii="Times New Roman" w:hAnsi="Times New Roman"/>
          <w:color w:val="auto"/>
          <w:sz w:val="24"/>
          <w:szCs w:val="24"/>
        </w:rPr>
        <w:t>Caso ocorra descumprimento das obrigações contratuais, o fiscal administrativo do contrato atuará tempestivamente na solução do problema, reportando ao gestor do contrato para que tome as providências cabíveis, quando ultrapassar a sua competência; (</w:t>
      </w:r>
      <w:r>
        <w:fldChar w:fldCharType="begin"/>
      </w:r>
      <w:r>
        <w:rPr>
          <w:rStyle w:val="Hyperlink"/>
          <w:sz w:val="24"/>
          <w:szCs w:val="24"/>
          <w:rFonts w:ascii="Times New Roman" w:hAnsi="Times New Roman"/>
          <w:color w:val="auto"/>
        </w:rPr>
        <w:instrText xml:space="preserve"> HYPERLINK "https://www.planalto.gov.br/ccivil_03/_ato2019-2022/2022/Decreto/D11246.htm" \l "art23"</w:instrText>
      </w:r>
      <w:r>
        <w:rPr>
          <w:rStyle w:val="Hyperlink"/>
          <w:sz w:val="24"/>
          <w:szCs w:val="24"/>
          <w:rFonts w:ascii="Times New Roman" w:hAnsi="Times New Roman"/>
          <w:color w:val="auto"/>
        </w:rPr>
        <w:fldChar w:fldCharType="separate"/>
      </w:r>
      <w:r>
        <w:rPr>
          <w:rStyle w:val="Hyperlink"/>
          <w:rFonts w:ascii="Times New Roman" w:hAnsi="Times New Roman"/>
          <w:color w:val="auto"/>
          <w:sz w:val="24"/>
          <w:szCs w:val="24"/>
        </w:rPr>
        <w:t>Decreto nº 11.246, de 2022, art. 23, IV</w:t>
      </w:r>
      <w:r>
        <w:rPr>
          <w:rStyle w:val="Hyperlink"/>
          <w:sz w:val="24"/>
          <w:szCs w:val="24"/>
          <w:rFonts w:ascii="Times New Roman" w:hAnsi="Times New Roman"/>
          <w:color w:val="auto"/>
        </w:rPr>
        <w:fldChar w:fldCharType="end"/>
      </w:r>
      <w:r>
        <w:rPr>
          <w:rFonts w:ascii="Times New Roman" w:hAnsi="Times New Roman"/>
          <w:color w:val="auto"/>
          <w:sz w:val="24"/>
          <w:szCs w:val="24"/>
        </w:rPr>
        <w:t>).</w:t>
      </w:r>
    </w:p>
    <w:p>
      <w:pPr>
        <w:pStyle w:val="Nvel1-SemNumPreto"/>
        <w:ind w:hanging="0" w:left="0"/>
        <w:rPr>
          <w:color w:val="auto"/>
        </w:rPr>
      </w:pPr>
      <w:r>
        <w:rPr>
          <w:color w:val="auto"/>
        </w:rPr>
        <w:t>Gestor do Contrato</w:t>
      </w:r>
    </w:p>
    <w:p>
      <w:pPr>
        <w:pStyle w:val="Nivel2"/>
        <w:numPr>
          <w:ilvl w:val="1"/>
          <w:numId w:val="182"/>
        </w:numPr>
        <w:ind w:hanging="0" w:left="0"/>
        <w:rPr>
          <w:rFonts w:ascii="Times New Roman" w:hAnsi="Times New Roman"/>
          <w:color w:val="auto"/>
          <w:sz w:val="24"/>
          <w:szCs w:val="24"/>
        </w:rPr>
      </w:pPr>
      <w:r>
        <w:rPr>
          <w:rFonts w:ascii="Times New Roman" w:hAnsi="Times New Roman"/>
          <w:color w:val="auto"/>
          <w:sz w:val="24"/>
          <w:szCs w:val="24"/>
        </w:rPr>
        <w:t>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(Decreto nº 11.246, de 2022, art. 21, IV).</w:t>
      </w:r>
    </w:p>
    <w:p>
      <w:pPr>
        <w:pStyle w:val="Nivel2"/>
        <w:numPr>
          <w:ilvl w:val="1"/>
          <w:numId w:val="183"/>
        </w:numPr>
        <w:ind w:hanging="0" w:left="0"/>
        <w:rPr>
          <w:rFonts w:ascii="Times New Roman" w:hAnsi="Times New Roman"/>
          <w:color w:val="auto"/>
          <w:sz w:val="24"/>
          <w:szCs w:val="24"/>
        </w:rPr>
      </w:pPr>
      <w:r>
        <w:rPr>
          <w:rFonts w:ascii="Times New Roman" w:hAnsi="Times New Roman"/>
          <w:color w:val="auto"/>
          <w:sz w:val="24"/>
          <w:szCs w:val="24"/>
        </w:rPr>
        <w:t xml:space="preserve">O gestor do contrato acompanhará os registros realizados pelos fiscais do contrato, de todas as ocorrências relacionadas à execução do contrato e as medidas adotadas, informando, se for o caso, à autoridade superior àquelas que ultrapassarem a sua competência. (Decreto nº 11.246, de 2022, art. 21, II). </w:t>
      </w:r>
    </w:p>
    <w:p>
      <w:pPr>
        <w:pStyle w:val="Nivel2"/>
        <w:numPr>
          <w:ilvl w:val="1"/>
          <w:numId w:val="184"/>
        </w:numPr>
        <w:ind w:hanging="0" w:left="0"/>
        <w:rPr>
          <w:rFonts w:ascii="Times New Roman" w:hAnsi="Times New Roman"/>
          <w:color w:val="auto"/>
          <w:sz w:val="24"/>
          <w:szCs w:val="24"/>
        </w:rPr>
      </w:pPr>
      <w:r>
        <w:rPr>
          <w:rFonts w:ascii="Times New Roman" w:hAnsi="Times New Roman"/>
          <w:color w:val="auto"/>
          <w:sz w:val="24"/>
          <w:szCs w:val="24"/>
        </w:rPr>
        <w:t xml:space="preserve">O gestor do contrato acompanhará a manutenção das condições de habilitação da contratada, para fins de empenho de despesa e pagamento, e anotará os problemas que obstem o fluxo normal da liquidação e do pagamento da despesa no relatório de riscos eventuais. (Decreto nº 11.246, de 2022, art. 21, III). </w:t>
      </w:r>
    </w:p>
    <w:p>
      <w:pPr>
        <w:pStyle w:val="Nivel2"/>
        <w:numPr>
          <w:ilvl w:val="1"/>
          <w:numId w:val="185"/>
        </w:numPr>
        <w:ind w:hanging="0" w:left="0"/>
        <w:rPr>
          <w:rFonts w:ascii="Times New Roman" w:hAnsi="Times New Roman"/>
          <w:color w:val="auto"/>
          <w:sz w:val="24"/>
          <w:szCs w:val="24"/>
        </w:rPr>
      </w:pPr>
      <w:r>
        <w:rPr>
          <w:rFonts w:ascii="Times New Roman" w:hAnsi="Times New Roman"/>
          <w:color w:val="auto"/>
          <w:sz w:val="24"/>
          <w:szCs w:val="24"/>
        </w:rPr>
        <w:t xml:space="preserve">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(Decreto nº 11.246, de 2022, art. 21, VIII). </w:t>
      </w:r>
    </w:p>
    <w:p>
      <w:pPr>
        <w:pStyle w:val="Nivel2"/>
        <w:numPr>
          <w:ilvl w:val="1"/>
          <w:numId w:val="186"/>
        </w:numPr>
        <w:ind w:hanging="0" w:left="0"/>
        <w:rPr>
          <w:rFonts w:ascii="Times New Roman" w:hAnsi="Times New Roman"/>
          <w:color w:val="auto"/>
          <w:sz w:val="24"/>
          <w:szCs w:val="24"/>
        </w:rPr>
      </w:pPr>
      <w:r>
        <w:rPr>
          <w:rFonts w:ascii="Times New Roman" w:hAnsi="Times New Roman"/>
          <w:color w:val="auto"/>
          <w:sz w:val="24"/>
          <w:szCs w:val="24"/>
        </w:rPr>
        <w:t xml:space="preserve">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(Decreto nº 11.246, de 2022, art. 21, X). </w:t>
      </w:r>
    </w:p>
    <w:p>
      <w:pPr>
        <w:pStyle w:val="Nivel2"/>
        <w:numPr>
          <w:ilvl w:val="1"/>
          <w:numId w:val="187"/>
        </w:numPr>
        <w:ind w:hanging="0" w:left="0"/>
        <w:rPr>
          <w:rFonts w:ascii="Times New Roman" w:hAnsi="Times New Roman"/>
          <w:color w:val="auto"/>
          <w:sz w:val="24"/>
          <w:szCs w:val="24"/>
        </w:rPr>
      </w:pPr>
      <w:r>
        <w:rPr>
          <w:rFonts w:ascii="Times New Roman" w:hAnsi="Times New Roman"/>
          <w:color w:val="auto"/>
          <w:sz w:val="24"/>
          <w:szCs w:val="24"/>
        </w:rPr>
        <w:t xml:space="preserve">O gestor do contrato deverá elaborar relatório final com informações sobre a consecução dos objetivos que tenham justificado a contratação e eventuais condutas a serem adotadas para o aprimoramento das atividades da Administração. (Decreto nº 11.246, de 2022, art. 21, VI). </w:t>
      </w:r>
    </w:p>
    <w:p>
      <w:pPr>
        <w:pStyle w:val="Nivel2"/>
        <w:numPr>
          <w:ilvl w:val="1"/>
          <w:numId w:val="188"/>
        </w:numPr>
        <w:ind w:hanging="0" w:left="0"/>
        <w:rPr>
          <w:rFonts w:ascii="Times New Roman" w:hAnsi="Times New Roman"/>
          <w:color w:val="auto"/>
          <w:sz w:val="24"/>
          <w:szCs w:val="24"/>
        </w:rPr>
      </w:pPr>
      <w:r>
        <w:rPr>
          <w:rFonts w:ascii="Times New Roman" w:hAnsi="Times New Roman"/>
          <w:color w:val="auto"/>
          <w:sz w:val="24"/>
          <w:szCs w:val="24"/>
        </w:rPr>
        <w:t>O gestor do contrato deverá enviar a documentação pertinente ao setor de contratos para a formalização dos procedimentos de liquidação e pagamento, no valor dimensionado pela fiscalização e gestão nos termos do contrato.</w:t>
      </w:r>
    </w:p>
    <w:p>
      <w:pPr>
        <w:pStyle w:val="Nivel01"/>
        <w:numPr>
          <w:ilvl w:val="0"/>
          <w:numId w:val="4"/>
        </w:numPr>
        <w:ind w:hanging="0" w:left="0"/>
        <w:rPr/>
      </w:pPr>
      <w:r>
        <w:rPr/>
        <w:t>CRITÉRIOS DE MEDIÇÃO E DE PAGAMENTO</w:t>
      </w:r>
    </w:p>
    <w:p>
      <w:pPr>
        <w:pStyle w:val="Nvel1-SemNumPreto"/>
        <w:ind w:hanging="0" w:left="0"/>
        <w:rPr>
          <w:color w:val="auto"/>
        </w:rPr>
      </w:pPr>
      <w:r>
        <w:rPr>
          <w:color w:val="auto"/>
        </w:rPr>
        <w:t>Recebimento</w:t>
      </w:r>
    </w:p>
    <w:p>
      <w:pPr>
        <w:pStyle w:val="Nivel2"/>
        <w:numPr>
          <w:ilvl w:val="1"/>
          <w:numId w:val="189"/>
        </w:numPr>
        <w:ind w:hanging="0" w:left="0"/>
        <w:rPr>
          <w:rFonts w:ascii="Times New Roman" w:hAnsi="Times New Roman"/>
          <w:color w:val="auto"/>
          <w:sz w:val="24"/>
          <w:szCs w:val="24"/>
        </w:rPr>
      </w:pPr>
      <w:r>
        <w:rPr>
          <w:rFonts w:ascii="Times New Roman" w:hAnsi="Times New Roman"/>
          <w:color w:val="auto"/>
          <w:sz w:val="24"/>
          <w:szCs w:val="24"/>
          <w:lang w:eastAsia="en-US"/>
        </w:rPr>
        <w:t xml:space="preserve">Os bens serão recebidos provisoriamente, de forma sumária, no ato da entrega, juntamente com a </w:t>
      </w:r>
      <w:r>
        <w:rPr>
          <w:rFonts w:eastAsia="Calibri" w:ascii="Times New Roman" w:hAnsi="Times New Roman"/>
          <w:color w:val="auto"/>
          <w:sz w:val="24"/>
          <w:szCs w:val="24"/>
          <w:lang w:eastAsia="en-US"/>
        </w:rPr>
        <w:t>nota</w:t>
      </w:r>
      <w:r>
        <w:rPr>
          <w:rFonts w:ascii="Times New Roman" w:hAnsi="Times New Roman"/>
          <w:color w:val="auto"/>
          <w:sz w:val="24"/>
          <w:szCs w:val="24"/>
          <w:lang w:eastAsia="en-US"/>
        </w:rPr>
        <w:t xml:space="preserve"> fiscal ou instrumento de cobrança equivalente, pelo(a) responsável pelo acompanhamento e fiscalização do contrato, para efeito de posterior verificação de sua conformidade com as especificações constantes no Termo de Referência e na proposta.</w:t>
      </w:r>
    </w:p>
    <w:p>
      <w:pPr>
        <w:pStyle w:val="Nivel2"/>
        <w:numPr>
          <w:ilvl w:val="1"/>
          <w:numId w:val="190"/>
        </w:numPr>
        <w:ind w:hanging="0" w:left="0"/>
        <w:rPr>
          <w:rFonts w:ascii="Times New Roman" w:hAnsi="Times New Roman"/>
          <w:color w:val="auto"/>
          <w:sz w:val="24"/>
          <w:szCs w:val="24"/>
        </w:rPr>
      </w:pPr>
      <w:r>
        <w:rPr>
          <w:rFonts w:ascii="Times New Roman" w:hAnsi="Times New Roman"/>
          <w:color w:val="auto"/>
          <w:sz w:val="24"/>
          <w:szCs w:val="24"/>
          <w:lang w:eastAsia="en-US"/>
        </w:rPr>
        <w:t>Os bens poderão ser rejeitados, no todo ou em parte, inclusive antes do recebimento provisório, quando em desacordo com as especificações constantes no Termo de Referência e na proposta, devendo ser substituídos no prazo de 30 (trinta) dias, a contar da notificação da contratada, às suas custas, sem prejuízo da aplicação das penalidades.</w:t>
      </w:r>
    </w:p>
    <w:p>
      <w:pPr>
        <w:pStyle w:val="Nivel2"/>
        <w:numPr>
          <w:ilvl w:val="1"/>
          <w:numId w:val="191"/>
        </w:numPr>
        <w:ind w:hanging="0" w:left="0"/>
        <w:rPr>
          <w:rFonts w:ascii="Times New Roman" w:hAnsi="Times New Roman"/>
          <w:color w:val="auto"/>
          <w:sz w:val="24"/>
          <w:szCs w:val="24"/>
        </w:rPr>
      </w:pPr>
      <w:r>
        <w:rPr>
          <w:rFonts w:ascii="Times New Roman" w:hAnsi="Times New Roman"/>
          <w:color w:val="auto"/>
          <w:sz w:val="24"/>
          <w:szCs w:val="24"/>
          <w:lang w:eastAsia="en-US"/>
        </w:rPr>
        <w:t xml:space="preserve">O recebimento definitivo ocorrerá no </w:t>
      </w:r>
      <w:r>
        <w:rPr>
          <w:rFonts w:ascii="Times New Roman" w:hAnsi="Times New Roman"/>
          <w:b/>
          <w:bCs/>
          <w:color w:val="auto"/>
          <w:sz w:val="24"/>
          <w:szCs w:val="24"/>
          <w:lang w:eastAsia="en-US"/>
        </w:rPr>
        <w:t>prazo de 5 (cinco) dias úteis</w:t>
      </w:r>
      <w:r>
        <w:rPr>
          <w:rFonts w:ascii="Times New Roman" w:hAnsi="Times New Roman"/>
          <w:color w:val="auto"/>
          <w:sz w:val="24"/>
          <w:szCs w:val="24"/>
          <w:lang w:eastAsia="en-US"/>
        </w:rPr>
        <w:t>, a contar do recebimento da nota fiscal ou instrumento de cobrança equivalente pela Administração, após a verificação da qualidade e quantidade do material e consequente aceitação mediante termo detalhado.</w:t>
      </w:r>
    </w:p>
    <w:p>
      <w:pPr>
        <w:pStyle w:val="Nivel2"/>
        <w:numPr>
          <w:ilvl w:val="1"/>
          <w:numId w:val="192"/>
        </w:numPr>
        <w:ind w:hanging="0" w:left="0"/>
        <w:rPr>
          <w:color w:val="auto"/>
        </w:rPr>
      </w:pPr>
      <w:r>
        <w:rPr>
          <w:rFonts w:ascii="Times New Roman" w:hAnsi="Times New Roman"/>
          <w:color w:val="auto"/>
          <w:sz w:val="24"/>
          <w:szCs w:val="24"/>
          <w:lang w:eastAsia="en-US"/>
        </w:rPr>
        <w:t xml:space="preserve">Para as contratações decorrentes de despesas cujos valores não ultrapassem o limite de que trata o </w:t>
      </w:r>
      <w:r>
        <w:fldChar w:fldCharType="begin"/>
      </w:r>
      <w:r>
        <w:rPr>
          <w:rStyle w:val="Hyperlink"/>
          <w:sz w:val="24"/>
          <w:szCs w:val="24"/>
          <w:rFonts w:ascii="Times New Roman" w:hAnsi="Times New Roman"/>
          <w:color w:val="auto"/>
          <w:lang w:eastAsia="en-US"/>
        </w:rPr>
        <w:instrText xml:space="preserve"> HYPERLINK "http://www.planalto.gov.br/ccivil_03/_ato2019-2022/2021/lei/L14133.htm" \l "art75"</w:instrText>
      </w:r>
      <w:r>
        <w:rPr>
          <w:rStyle w:val="Hyperlink"/>
          <w:sz w:val="24"/>
          <w:szCs w:val="24"/>
          <w:rFonts w:ascii="Times New Roman" w:hAnsi="Times New Roman"/>
          <w:color w:val="auto"/>
          <w:lang w:eastAsia="en-US"/>
        </w:rPr>
        <w:fldChar w:fldCharType="separate"/>
      </w:r>
      <w:r>
        <w:rPr>
          <w:rStyle w:val="Hyperlink"/>
          <w:rFonts w:ascii="Times New Roman" w:hAnsi="Times New Roman"/>
          <w:color w:val="auto"/>
          <w:sz w:val="24"/>
          <w:szCs w:val="24"/>
          <w:lang w:eastAsia="en-US"/>
        </w:rPr>
        <w:t>inciso II do art. 75 da Lei nº 14.133, de 2021</w:t>
      </w:r>
      <w:r>
        <w:rPr>
          <w:rStyle w:val="Hyperlink"/>
          <w:sz w:val="24"/>
          <w:szCs w:val="24"/>
          <w:rFonts w:ascii="Times New Roman" w:hAnsi="Times New Roman"/>
          <w:color w:val="auto"/>
          <w:lang w:eastAsia="en-US"/>
        </w:rPr>
        <w:fldChar w:fldCharType="end"/>
      </w:r>
      <w:r>
        <w:rPr>
          <w:rFonts w:ascii="Times New Roman" w:hAnsi="Times New Roman"/>
          <w:color w:val="auto"/>
          <w:sz w:val="24"/>
          <w:szCs w:val="24"/>
          <w:lang w:eastAsia="en-US"/>
        </w:rPr>
        <w:t xml:space="preserve">, o prazo máximo para o recebimento definitivo será de até </w:t>
      </w:r>
      <w:r>
        <w:rPr>
          <w:rFonts w:ascii="Times New Roman" w:hAnsi="Times New Roman"/>
          <w:b/>
          <w:bCs/>
          <w:color w:val="auto"/>
          <w:sz w:val="24"/>
          <w:szCs w:val="24"/>
          <w:lang w:eastAsia="en-US"/>
        </w:rPr>
        <w:t>5 (cinco) dias úteis</w:t>
      </w:r>
      <w:r>
        <w:rPr>
          <w:rFonts w:ascii="Times New Roman" w:hAnsi="Times New Roman"/>
          <w:color w:val="auto"/>
          <w:sz w:val="24"/>
          <w:szCs w:val="24"/>
          <w:lang w:eastAsia="en-US"/>
        </w:rPr>
        <w:t>.</w:t>
      </w:r>
    </w:p>
    <w:p>
      <w:pPr>
        <w:pStyle w:val="Nivel2"/>
        <w:numPr>
          <w:ilvl w:val="1"/>
          <w:numId w:val="193"/>
        </w:numPr>
        <w:ind w:hanging="0" w:left="0"/>
        <w:rPr>
          <w:rFonts w:ascii="Times New Roman" w:hAnsi="Times New Roman"/>
          <w:color w:val="auto"/>
          <w:sz w:val="24"/>
          <w:szCs w:val="24"/>
        </w:rPr>
      </w:pPr>
      <w:r>
        <w:rPr>
          <w:rFonts w:ascii="Times New Roman" w:hAnsi="Times New Roman"/>
          <w:color w:val="auto"/>
          <w:sz w:val="24"/>
          <w:szCs w:val="24"/>
          <w:lang w:eastAsia="en-US"/>
        </w:rPr>
        <w:t>O prazo para recebimento definitivo poderá ser excepcionalmente prorrogado, de forma justificada, por igual período, quando houver necessidade de diligências para a aferição do atendimento das exigências contratuais.</w:t>
      </w:r>
    </w:p>
    <w:p>
      <w:pPr>
        <w:pStyle w:val="Nivel2"/>
        <w:numPr>
          <w:ilvl w:val="1"/>
          <w:numId w:val="194"/>
        </w:numPr>
        <w:ind w:hanging="0" w:left="0"/>
        <w:rPr>
          <w:color w:val="auto"/>
        </w:rPr>
      </w:pPr>
      <w:r>
        <w:rPr>
          <w:rFonts w:ascii="Times New Roman" w:hAnsi="Times New Roman"/>
          <w:color w:val="auto"/>
          <w:sz w:val="24"/>
          <w:szCs w:val="24"/>
          <w:lang w:eastAsia="en-US"/>
        </w:rPr>
        <w:t xml:space="preserve">No caso de controvérsia sobre a execução do objeto, quanto à dimensão, qualidade e quantidade, deverá ser observado o teor do </w:t>
      </w:r>
      <w:r>
        <w:fldChar w:fldCharType="begin"/>
      </w:r>
      <w:r>
        <w:rPr>
          <w:rStyle w:val="Hyperlink"/>
          <w:sz w:val="24"/>
          <w:szCs w:val="24"/>
          <w:rFonts w:ascii="Times New Roman" w:hAnsi="Times New Roman"/>
          <w:color w:val="auto"/>
          <w:lang w:eastAsia="en-US"/>
        </w:rPr>
        <w:instrText xml:space="preserve"> HYPERLINK "http://www.planalto.gov.br/ccivil_03/_ato2019-2022/2021/lei/L14133.htm" \l "art143"</w:instrText>
      </w:r>
      <w:r>
        <w:rPr>
          <w:rStyle w:val="Hyperlink"/>
          <w:sz w:val="24"/>
          <w:szCs w:val="24"/>
          <w:rFonts w:ascii="Times New Roman" w:hAnsi="Times New Roman"/>
          <w:color w:val="auto"/>
          <w:lang w:eastAsia="en-US"/>
        </w:rPr>
        <w:fldChar w:fldCharType="separate"/>
      </w:r>
      <w:r>
        <w:rPr>
          <w:rStyle w:val="Hyperlink"/>
          <w:rFonts w:ascii="Times New Roman" w:hAnsi="Times New Roman"/>
          <w:color w:val="auto"/>
          <w:sz w:val="24"/>
          <w:szCs w:val="24"/>
          <w:lang w:eastAsia="en-US"/>
        </w:rPr>
        <w:t>art. 143 da Lei nº 14.133, de 2021</w:t>
      </w:r>
      <w:r>
        <w:rPr>
          <w:rStyle w:val="Hyperlink"/>
          <w:sz w:val="24"/>
          <w:szCs w:val="24"/>
          <w:rFonts w:ascii="Times New Roman" w:hAnsi="Times New Roman"/>
          <w:color w:val="auto"/>
          <w:lang w:eastAsia="en-US"/>
        </w:rPr>
        <w:fldChar w:fldCharType="end"/>
      </w:r>
      <w:r>
        <w:rPr>
          <w:rFonts w:ascii="Times New Roman" w:hAnsi="Times New Roman"/>
          <w:color w:val="auto"/>
          <w:sz w:val="24"/>
          <w:szCs w:val="24"/>
          <w:lang w:eastAsia="en-US"/>
        </w:rPr>
        <w:t>, comunicando-se à empresa para emissão de Nota Fiscal no que pertine à parcela incontroversa da execução do objeto, para efeito de liquidação e pagamento.</w:t>
      </w:r>
    </w:p>
    <w:p>
      <w:pPr>
        <w:pStyle w:val="Nivel2"/>
        <w:numPr>
          <w:ilvl w:val="1"/>
          <w:numId w:val="195"/>
        </w:numPr>
        <w:ind w:hanging="0" w:left="0"/>
        <w:rPr>
          <w:rFonts w:ascii="Times New Roman" w:hAnsi="Times New Roman"/>
          <w:color w:val="auto"/>
          <w:sz w:val="24"/>
          <w:szCs w:val="24"/>
        </w:rPr>
      </w:pPr>
      <w:r>
        <w:rPr>
          <w:rFonts w:ascii="Times New Roman" w:hAnsi="Times New Roman"/>
          <w:color w:val="auto"/>
          <w:sz w:val="24"/>
          <w:szCs w:val="24"/>
          <w:lang w:eastAsia="en-US"/>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pPr>
        <w:pStyle w:val="Nivel2"/>
        <w:numPr>
          <w:ilvl w:val="1"/>
          <w:numId w:val="196"/>
        </w:numPr>
        <w:ind w:hanging="0" w:left="0"/>
        <w:rPr>
          <w:rFonts w:ascii="Times New Roman" w:hAnsi="Times New Roman"/>
          <w:color w:val="auto"/>
          <w:sz w:val="24"/>
          <w:szCs w:val="24"/>
        </w:rPr>
      </w:pPr>
      <w:r>
        <w:rPr>
          <w:rFonts w:ascii="Times New Roman" w:hAnsi="Times New Roman"/>
          <w:color w:val="auto"/>
          <w:sz w:val="24"/>
          <w:szCs w:val="24"/>
          <w:lang w:eastAsia="en-US"/>
        </w:rPr>
        <w:t>O recebimento provisório ou definitivo não excluirá a responsabilidade civil pela solidez e pela segurança dos bens nem a responsabilidade ético-profissional pela perfeita execução do contrato.</w:t>
      </w:r>
    </w:p>
    <w:p>
      <w:pPr>
        <w:pStyle w:val="Nvel1-SemNumPreto"/>
        <w:ind w:hanging="0" w:left="0"/>
        <w:rPr>
          <w:color w:val="auto"/>
        </w:rPr>
      </w:pPr>
      <w:r>
        <w:rPr>
          <w:color w:val="auto"/>
        </w:rPr>
        <w:t>Liquidação</w:t>
      </w:r>
    </w:p>
    <w:p>
      <w:pPr>
        <w:pStyle w:val="Nivel2"/>
        <w:numPr>
          <w:ilvl w:val="1"/>
          <w:numId w:val="197"/>
        </w:numPr>
        <w:ind w:hanging="0" w:left="0"/>
        <w:rPr>
          <w:color w:val="auto"/>
        </w:rPr>
      </w:pPr>
      <w:r>
        <w:rPr>
          <w:rFonts w:ascii="Times New Roman" w:hAnsi="Times New Roman"/>
          <w:color w:val="auto"/>
          <w:sz w:val="24"/>
          <w:szCs w:val="24"/>
          <w:lang w:eastAsia="en-US"/>
        </w:rPr>
        <w:t>Recebida a Nota Fiscal ou documento de cobrança equivalente, correrá o prazo de dez dias úteis para fins de liquidação, na forma desta seção, prorrogáveis por igual período, nos termos do art. 7º, §3</w:t>
      </w:r>
      <w:r>
        <w:rPr>
          <w:rStyle w:val="Hyperlink"/>
          <w:rFonts w:ascii="Times New Roman" w:hAnsi="Times New Roman"/>
          <w:color w:val="auto"/>
          <w:sz w:val="24"/>
          <w:szCs w:val="24"/>
          <w:lang w:eastAsia="en-US"/>
        </w:rPr>
        <w:t>º da Instrução Normativa SEGES/ME nº 77/2022</w:t>
      </w:r>
      <w:r>
        <w:rPr>
          <w:rFonts w:ascii="Times New Roman" w:hAnsi="Times New Roman"/>
          <w:color w:val="auto"/>
          <w:sz w:val="24"/>
          <w:szCs w:val="24"/>
          <w:lang w:eastAsia="en-US"/>
        </w:rPr>
        <w:t>.</w:t>
      </w:r>
    </w:p>
    <w:p>
      <w:pPr>
        <w:pStyle w:val="Nivel3"/>
        <w:numPr>
          <w:ilvl w:val="2"/>
          <w:numId w:val="198"/>
        </w:numPr>
        <w:ind w:hanging="0" w:left="284"/>
        <w:rPr>
          <w:color w:val="auto"/>
        </w:rPr>
      </w:pPr>
      <w:r>
        <w:rPr>
          <w:rFonts w:ascii="Times New Roman" w:hAnsi="Times New Roman"/>
          <w:color w:val="auto"/>
          <w:sz w:val="24"/>
          <w:szCs w:val="24"/>
        </w:rPr>
        <w:t xml:space="preserve">O prazo de que trata o item anterior será reduzido à metade, mantendo-se a possibilidade de prorrogação, no caso de contratações decorrentes de despesas cujos valores não ultrapassem o limite de que trata o </w:t>
      </w:r>
      <w:r>
        <w:fldChar w:fldCharType="begin"/>
      </w:r>
      <w:r>
        <w:rPr>
          <w:rStyle w:val="Hyperlink"/>
          <w:sz w:val="24"/>
          <w:szCs w:val="24"/>
          <w:rFonts w:ascii="Times New Roman" w:hAnsi="Times New Roman"/>
          <w:color w:val="auto"/>
        </w:rPr>
        <w:instrText xml:space="preserve"> HYPERLINK "http://www.planalto.gov.br/ccivil_03/_ato2019-2022/2021/lei/L14133.htm" \l "art75"</w:instrText>
      </w:r>
      <w:r>
        <w:rPr>
          <w:rStyle w:val="Hyperlink"/>
          <w:sz w:val="24"/>
          <w:szCs w:val="24"/>
          <w:rFonts w:ascii="Times New Roman" w:hAnsi="Times New Roman"/>
          <w:color w:val="auto"/>
        </w:rPr>
        <w:fldChar w:fldCharType="separate"/>
      </w:r>
      <w:r>
        <w:rPr>
          <w:rStyle w:val="Hyperlink"/>
          <w:rFonts w:ascii="Times New Roman" w:hAnsi="Times New Roman"/>
          <w:color w:val="auto"/>
          <w:sz w:val="24"/>
          <w:szCs w:val="24"/>
        </w:rPr>
        <w:t>inciso II do art. 75 da Lei nº 14.133, de 2021</w:t>
      </w:r>
      <w:r>
        <w:rPr>
          <w:rStyle w:val="Hyperlink"/>
          <w:sz w:val="24"/>
          <w:szCs w:val="24"/>
          <w:rFonts w:ascii="Times New Roman" w:hAnsi="Times New Roman"/>
          <w:color w:val="auto"/>
        </w:rPr>
        <w:fldChar w:fldCharType="end"/>
      </w:r>
      <w:r>
        <w:rPr>
          <w:rFonts w:ascii="Times New Roman" w:hAnsi="Times New Roman"/>
          <w:color w:val="auto"/>
          <w:sz w:val="24"/>
          <w:szCs w:val="24"/>
        </w:rPr>
        <w:t>.</w:t>
      </w:r>
    </w:p>
    <w:p>
      <w:pPr>
        <w:pStyle w:val="Nivel2"/>
        <w:numPr>
          <w:ilvl w:val="1"/>
          <w:numId w:val="199"/>
        </w:numPr>
        <w:ind w:hanging="0" w:left="0"/>
        <w:rPr>
          <w:rFonts w:ascii="Times New Roman" w:hAnsi="Times New Roman"/>
          <w:color w:val="auto"/>
          <w:sz w:val="24"/>
          <w:szCs w:val="24"/>
        </w:rPr>
      </w:pPr>
      <w:r>
        <w:rPr>
          <w:rFonts w:ascii="Times New Roman" w:hAnsi="Times New Roman"/>
          <w:color w:val="auto"/>
          <w:sz w:val="24"/>
          <w:szCs w:val="24"/>
          <w:lang w:eastAsia="en-US"/>
        </w:rPr>
        <w:t xml:space="preserve">Para fins de liquidação, o setor competente deverá verificar se a nota fiscal ou instrumento de cobrança equivalente apresentado expressa os elementos necessários e essenciais do documento, tais como: </w:t>
      </w:r>
    </w:p>
    <w:p>
      <w:pPr>
        <w:pStyle w:val="Nivel3"/>
        <w:numPr>
          <w:ilvl w:val="2"/>
          <w:numId w:val="200"/>
        </w:numPr>
        <w:ind w:hanging="0" w:left="284"/>
        <w:rPr>
          <w:rFonts w:ascii="Times New Roman" w:hAnsi="Times New Roman"/>
          <w:color w:val="auto"/>
          <w:sz w:val="24"/>
          <w:szCs w:val="24"/>
        </w:rPr>
      </w:pPr>
      <w:r>
        <w:rPr>
          <w:rFonts w:ascii="Times New Roman" w:hAnsi="Times New Roman"/>
          <w:color w:val="auto"/>
          <w:sz w:val="24"/>
          <w:szCs w:val="24"/>
          <w:lang w:eastAsia="en-US"/>
        </w:rPr>
        <w:t>o prazo de validade;</w:t>
      </w:r>
    </w:p>
    <w:p>
      <w:pPr>
        <w:pStyle w:val="Nivel3"/>
        <w:numPr>
          <w:ilvl w:val="2"/>
          <w:numId w:val="201"/>
        </w:numPr>
        <w:ind w:hanging="0" w:left="284"/>
        <w:rPr>
          <w:rFonts w:ascii="Times New Roman" w:hAnsi="Times New Roman"/>
          <w:color w:val="auto"/>
          <w:sz w:val="24"/>
          <w:szCs w:val="24"/>
        </w:rPr>
      </w:pPr>
      <w:r>
        <w:rPr>
          <w:rFonts w:ascii="Times New Roman" w:hAnsi="Times New Roman"/>
          <w:color w:val="auto"/>
          <w:sz w:val="24"/>
          <w:szCs w:val="24"/>
          <w:lang w:eastAsia="en-US"/>
        </w:rPr>
        <w:t xml:space="preserve">a data da emissão; </w:t>
      </w:r>
    </w:p>
    <w:p>
      <w:pPr>
        <w:pStyle w:val="Nivel3"/>
        <w:numPr>
          <w:ilvl w:val="2"/>
          <w:numId w:val="202"/>
        </w:numPr>
        <w:ind w:hanging="0" w:left="284"/>
        <w:rPr>
          <w:rFonts w:ascii="Times New Roman" w:hAnsi="Times New Roman"/>
          <w:color w:val="auto"/>
          <w:sz w:val="24"/>
          <w:szCs w:val="24"/>
        </w:rPr>
      </w:pPr>
      <w:r>
        <w:rPr>
          <w:rFonts w:ascii="Times New Roman" w:hAnsi="Times New Roman"/>
          <w:color w:val="auto"/>
          <w:sz w:val="24"/>
          <w:szCs w:val="24"/>
          <w:lang w:eastAsia="en-US"/>
        </w:rPr>
        <w:t xml:space="preserve">os dados do contrato e do órgão contratante; </w:t>
      </w:r>
    </w:p>
    <w:p>
      <w:pPr>
        <w:pStyle w:val="Nivel3"/>
        <w:numPr>
          <w:ilvl w:val="2"/>
          <w:numId w:val="203"/>
        </w:numPr>
        <w:ind w:hanging="0" w:left="284"/>
        <w:rPr>
          <w:rFonts w:ascii="Times New Roman" w:hAnsi="Times New Roman"/>
          <w:color w:val="auto"/>
          <w:sz w:val="24"/>
          <w:szCs w:val="24"/>
        </w:rPr>
      </w:pPr>
      <w:r>
        <w:rPr>
          <w:rFonts w:ascii="Times New Roman" w:hAnsi="Times New Roman"/>
          <w:color w:val="auto"/>
          <w:sz w:val="24"/>
          <w:szCs w:val="24"/>
          <w:lang w:eastAsia="en-US"/>
        </w:rPr>
        <w:t xml:space="preserve">o período respectivo de execução do contrato; </w:t>
      </w:r>
    </w:p>
    <w:p>
      <w:pPr>
        <w:pStyle w:val="Nivel3"/>
        <w:numPr>
          <w:ilvl w:val="2"/>
          <w:numId w:val="204"/>
        </w:numPr>
        <w:ind w:hanging="0" w:left="284"/>
        <w:rPr>
          <w:rFonts w:ascii="Times New Roman" w:hAnsi="Times New Roman"/>
          <w:color w:val="auto"/>
          <w:sz w:val="24"/>
          <w:szCs w:val="24"/>
        </w:rPr>
      </w:pPr>
      <w:r>
        <w:rPr>
          <w:rFonts w:ascii="Times New Roman" w:hAnsi="Times New Roman"/>
          <w:color w:val="auto"/>
          <w:sz w:val="24"/>
          <w:szCs w:val="24"/>
          <w:lang w:eastAsia="en-US"/>
        </w:rPr>
        <w:t xml:space="preserve">o valor a pagar; e </w:t>
      </w:r>
    </w:p>
    <w:p>
      <w:pPr>
        <w:pStyle w:val="Nivel3"/>
        <w:numPr>
          <w:ilvl w:val="2"/>
          <w:numId w:val="205"/>
        </w:numPr>
        <w:ind w:hanging="0" w:left="284"/>
        <w:rPr>
          <w:rFonts w:ascii="Times New Roman" w:hAnsi="Times New Roman"/>
          <w:color w:val="auto"/>
          <w:sz w:val="24"/>
          <w:szCs w:val="24"/>
        </w:rPr>
      </w:pPr>
      <w:r>
        <w:rPr>
          <w:rFonts w:ascii="Times New Roman" w:hAnsi="Times New Roman"/>
          <w:color w:val="auto"/>
          <w:sz w:val="24"/>
          <w:szCs w:val="24"/>
          <w:lang w:eastAsia="en-US"/>
        </w:rPr>
        <w:t>eventual destaque do valor de retenções tributárias cabíveis.</w:t>
      </w:r>
    </w:p>
    <w:p>
      <w:pPr>
        <w:pStyle w:val="Nivel2"/>
        <w:numPr>
          <w:ilvl w:val="1"/>
          <w:numId w:val="206"/>
        </w:numPr>
        <w:ind w:hanging="0" w:left="0"/>
        <w:rPr>
          <w:rFonts w:ascii="Times New Roman" w:hAnsi="Times New Roman"/>
          <w:color w:val="auto"/>
          <w:sz w:val="24"/>
          <w:szCs w:val="24"/>
        </w:rPr>
      </w:pPr>
      <w:r>
        <w:rPr>
          <w:rFonts w:eastAsia="Calibri" w:ascii="Times New Roman" w:hAnsi="Times New Roman"/>
          <w:color w:val="auto"/>
          <w:sz w:val="24"/>
          <w:szCs w:val="24"/>
          <w:lang w:eastAsia="en-US"/>
        </w:rPr>
        <w:t xml:space="preserve"> </w:t>
      </w:r>
      <w:r>
        <w:rPr>
          <w:rFonts w:eastAsia="Calibri" w:ascii="Times New Roman" w:hAnsi="Times New Roman"/>
          <w:color w:val="auto"/>
          <w:sz w:val="24"/>
          <w:szCs w:val="24"/>
          <w:lang w:eastAsia="en-US"/>
        </w:rPr>
        <w:t xml:space="preserve">Havendo erro na apresentação da nota fiscal ou instrumento de cobrança equivalente, ou circunstância que impeça a </w:t>
      </w:r>
      <w:r>
        <w:rPr>
          <w:rFonts w:ascii="Times New Roman" w:hAnsi="Times New Roman"/>
          <w:color w:val="auto"/>
          <w:sz w:val="24"/>
          <w:szCs w:val="24"/>
          <w:lang w:eastAsia="en-US"/>
        </w:rPr>
        <w:t>liquidação da despesa, esta ficará sobrestada até que o contratado providencie as medidas saneadoras, reiniciando-se o prazo após a comprovação da regularização da situação, sem ônus ao contratante;</w:t>
      </w:r>
    </w:p>
    <w:p>
      <w:pPr>
        <w:pStyle w:val="Nivel2"/>
        <w:numPr>
          <w:ilvl w:val="1"/>
          <w:numId w:val="207"/>
        </w:numPr>
        <w:ind w:hanging="0" w:left="0"/>
        <w:rPr>
          <w:color w:val="auto"/>
        </w:rPr>
      </w:pPr>
      <w:r>
        <w:rPr>
          <w:rFonts w:ascii="Times New Roman" w:hAnsi="Times New Roman"/>
          <w:color w:val="auto"/>
          <w:sz w:val="24"/>
          <w:szCs w:val="24"/>
          <w:lang w:eastAsia="en-US"/>
        </w:rPr>
        <w:t xml:space="preserve"> </w:t>
      </w:r>
      <w:r>
        <w:rPr>
          <w:rFonts w:ascii="Times New Roman" w:hAnsi="Times New Roman"/>
          <w:color w:val="auto"/>
          <w:sz w:val="24"/>
          <w:szCs w:val="24"/>
          <w:lang w:eastAsia="en-US"/>
        </w:rPr>
        <w:t xml:space="preserve">A nota fiscal ou instrumento de cobrança equivalente deverá ser obrigatoriamente acompanhado da comprovação da regularidade fiscal, constatada por meio de consulta </w:t>
      </w:r>
      <w:r>
        <w:rPr>
          <w:rFonts w:ascii="Times New Roman" w:hAnsi="Times New Roman"/>
          <w:i/>
          <w:iCs/>
          <w:color w:val="auto"/>
          <w:sz w:val="24"/>
          <w:szCs w:val="24"/>
          <w:lang w:eastAsia="en-US"/>
        </w:rPr>
        <w:t>on-line</w:t>
      </w:r>
      <w:r>
        <w:rPr>
          <w:rFonts w:ascii="Times New Roman" w:hAnsi="Times New Roman"/>
          <w:color w:val="auto"/>
          <w:sz w:val="24"/>
          <w:szCs w:val="24"/>
          <w:lang w:eastAsia="en-US"/>
        </w:rPr>
        <w:t xml:space="preserve"> ao SICAF ou, na impossibilidade de acesso ao referido Sistema, mediante consulta aos sítios eletrônicos oficiais ou à documentação mencionada no </w:t>
      </w:r>
      <w:r>
        <w:fldChar w:fldCharType="begin"/>
      </w:r>
      <w:r>
        <w:rPr>
          <w:rStyle w:val="Hyperlink"/>
          <w:sz w:val="24"/>
          <w:szCs w:val="24"/>
          <w:rFonts w:ascii="Times New Roman" w:hAnsi="Times New Roman"/>
          <w:color w:val="auto"/>
          <w:lang w:eastAsia="en-US"/>
        </w:rPr>
        <w:instrText xml:space="preserve"> HYPERLINK "http://www.planalto.gov.br/ccivil_03/_ato2019-2022/2021/lei/L14133.htm" \l "art68"</w:instrText>
      </w:r>
      <w:r>
        <w:rPr>
          <w:rStyle w:val="Hyperlink"/>
          <w:sz w:val="24"/>
          <w:szCs w:val="24"/>
          <w:rFonts w:ascii="Times New Roman" w:hAnsi="Times New Roman"/>
          <w:color w:val="auto"/>
          <w:lang w:eastAsia="en-US"/>
        </w:rPr>
        <w:fldChar w:fldCharType="separate"/>
      </w:r>
      <w:r>
        <w:rPr>
          <w:rStyle w:val="Hyperlink"/>
          <w:rFonts w:ascii="Times New Roman" w:hAnsi="Times New Roman"/>
          <w:color w:val="auto"/>
          <w:sz w:val="24"/>
          <w:szCs w:val="24"/>
          <w:lang w:eastAsia="en-US"/>
        </w:rPr>
        <w:t xml:space="preserve">art. 68 da Lei nº 14.133, de 2021.  </w:t>
      </w:r>
      <w:r>
        <w:rPr>
          <w:rStyle w:val="Hyperlink"/>
          <w:sz w:val="24"/>
          <w:szCs w:val="24"/>
          <w:rFonts w:ascii="Times New Roman" w:hAnsi="Times New Roman"/>
          <w:color w:val="auto"/>
          <w:lang w:eastAsia="en-US"/>
        </w:rPr>
        <w:fldChar w:fldCharType="end"/>
      </w:r>
      <w:r>
        <w:rPr>
          <w:rFonts w:ascii="Times New Roman" w:hAnsi="Times New Roman"/>
          <w:color w:val="auto"/>
          <w:sz w:val="24"/>
          <w:szCs w:val="24"/>
          <w:lang w:eastAsia="en-US"/>
        </w:rPr>
        <w:t xml:space="preserve"> </w:t>
      </w:r>
    </w:p>
    <w:p>
      <w:pPr>
        <w:pStyle w:val="Nivel2"/>
        <w:numPr>
          <w:ilvl w:val="1"/>
          <w:numId w:val="208"/>
        </w:numPr>
        <w:ind w:hanging="0" w:left="0"/>
        <w:rPr>
          <w:rFonts w:ascii="Times New Roman" w:hAnsi="Times New Roman"/>
          <w:color w:val="auto"/>
          <w:sz w:val="24"/>
          <w:szCs w:val="24"/>
        </w:rPr>
      </w:pPr>
      <w:r>
        <w:rPr>
          <w:rFonts w:ascii="Times New Roman" w:hAnsi="Times New Roman"/>
          <w:color w:val="auto"/>
          <w:sz w:val="24"/>
          <w:szCs w:val="24"/>
        </w:rPr>
        <w:t xml:space="preserve">A Administração deverá realizar consulta ao SICAF para: a) verificar a manutenção das condições de habilitação exigidas; b) </w:t>
      </w:r>
      <w:r>
        <w:rPr>
          <w:rFonts w:ascii="Times New Roman" w:hAnsi="Times New Roman"/>
          <w:sz w:val="24"/>
          <w:szCs w:val="24"/>
          <w:shd w:fill="FFFFFF" w:val="clear"/>
        </w:rPr>
        <w:t>identificar possível razão que impeça a contratação no âmbito do órgão ou entidade, tais como a proibição de contratar com a Administração ou com o Poder Público</w:t>
      </w:r>
      <w:r>
        <w:rPr>
          <w:rFonts w:ascii="Times New Roman" w:hAnsi="Times New Roman"/>
          <w:color w:val="auto"/>
          <w:sz w:val="24"/>
          <w:szCs w:val="24"/>
        </w:rPr>
        <w:t>, bem como ocorrências impeditivas indiretas (INSTRUÇÃO NORMATIVA Nº 3, DE 26 DE ABRIL DE 2018).</w:t>
      </w:r>
    </w:p>
    <w:p>
      <w:pPr>
        <w:pStyle w:val="Nivel2"/>
        <w:numPr>
          <w:ilvl w:val="1"/>
          <w:numId w:val="209"/>
        </w:numPr>
        <w:ind w:hanging="0" w:left="0"/>
        <w:rPr>
          <w:rFonts w:ascii="Times New Roman" w:hAnsi="Times New Roman"/>
          <w:color w:val="auto"/>
          <w:sz w:val="24"/>
          <w:szCs w:val="24"/>
        </w:rPr>
      </w:pPr>
      <w:r>
        <w:rPr>
          <w:rFonts w:ascii="Times New Roman" w:hAnsi="Times New Roman"/>
          <w:color w:val="auto"/>
          <w:sz w:val="24"/>
          <w:szCs w:val="24"/>
          <w:lang w:eastAsia="en-US"/>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pPr>
        <w:pStyle w:val="Nivel2"/>
        <w:numPr>
          <w:ilvl w:val="1"/>
          <w:numId w:val="210"/>
        </w:numPr>
        <w:ind w:hanging="0" w:left="0"/>
        <w:rPr>
          <w:rFonts w:ascii="Times New Roman" w:hAnsi="Times New Roman"/>
          <w:color w:val="auto"/>
          <w:sz w:val="24"/>
          <w:szCs w:val="24"/>
        </w:rPr>
      </w:pPr>
      <w:r>
        <w:rPr>
          <w:rFonts w:ascii="Times New Roman" w:hAnsi="Times New Roman"/>
          <w:color w:val="auto"/>
          <w:sz w:val="24"/>
          <w:szCs w:val="24"/>
          <w:lang w:eastAsia="en-US"/>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pPr>
        <w:pStyle w:val="Nivel2"/>
        <w:numPr>
          <w:ilvl w:val="1"/>
          <w:numId w:val="211"/>
        </w:numPr>
        <w:ind w:hanging="0" w:left="0"/>
        <w:rPr>
          <w:rFonts w:ascii="Times New Roman" w:hAnsi="Times New Roman"/>
          <w:color w:val="auto"/>
          <w:sz w:val="24"/>
          <w:szCs w:val="24"/>
        </w:rPr>
      </w:pPr>
      <w:r>
        <w:rPr>
          <w:rFonts w:ascii="Times New Roman" w:hAnsi="Times New Roman"/>
          <w:color w:val="auto"/>
          <w:sz w:val="24"/>
          <w:szCs w:val="24"/>
          <w:lang w:eastAsia="en-US"/>
        </w:rPr>
        <w:t xml:space="preserve">Persistindo a irregularidade, o contratante deverá adotar as medidas necessárias à rescisão contratual nos autos do processo administrativo correspondente, assegurada ao contratado a ampla defesa. </w:t>
      </w:r>
    </w:p>
    <w:p>
      <w:pPr>
        <w:pStyle w:val="Nivel2"/>
        <w:numPr>
          <w:ilvl w:val="1"/>
          <w:numId w:val="212"/>
        </w:numPr>
        <w:ind w:hanging="0" w:left="0"/>
        <w:rPr>
          <w:rFonts w:ascii="Times New Roman" w:hAnsi="Times New Roman"/>
          <w:color w:val="auto"/>
          <w:sz w:val="24"/>
          <w:szCs w:val="24"/>
        </w:rPr>
      </w:pPr>
      <w:r>
        <w:rPr>
          <w:rFonts w:ascii="Times New Roman" w:hAnsi="Times New Roman"/>
          <w:color w:val="auto"/>
          <w:sz w:val="24"/>
          <w:szCs w:val="24"/>
          <w:lang w:eastAsia="en-US"/>
        </w:rPr>
        <w:t xml:space="preserve">Havendo a efetiva execução do objeto, os pagamentos serão realizados normalmente, até que se decida pela rescisão do contrato, caso o contratado não regularize sua situação junto ao SICAF.  </w:t>
      </w:r>
    </w:p>
    <w:p>
      <w:pPr>
        <w:pStyle w:val="Nvel1-SemNumPreto"/>
        <w:ind w:hanging="0" w:left="0"/>
        <w:rPr>
          <w:color w:val="auto"/>
        </w:rPr>
      </w:pPr>
      <w:r>
        <w:rPr>
          <w:color w:val="auto"/>
        </w:rPr>
        <w:t>Prazo de pagamento</w:t>
      </w:r>
    </w:p>
    <w:p>
      <w:pPr>
        <w:pStyle w:val="Nivel2"/>
        <w:numPr>
          <w:ilvl w:val="1"/>
          <w:numId w:val="213"/>
        </w:numPr>
        <w:ind w:hanging="0" w:left="0"/>
        <w:rPr>
          <w:color w:val="auto"/>
        </w:rPr>
      </w:pPr>
      <w:r>
        <w:rPr>
          <w:rFonts w:ascii="Times New Roman" w:hAnsi="Times New Roman"/>
          <w:color w:val="auto"/>
          <w:sz w:val="24"/>
          <w:szCs w:val="24"/>
        </w:rPr>
        <w:t xml:space="preserve">O pagamento será efetuado no prazo de até 10 (dez) dias úteis contados da finalização da liquidação da despesa, conforme seção anterior, nos termos da </w:t>
      </w:r>
      <w:hyperlink r:id="rId3">
        <w:r>
          <w:rPr>
            <w:rStyle w:val="Hyperlink"/>
            <w:rFonts w:ascii="Times New Roman" w:hAnsi="Times New Roman"/>
            <w:color w:val="auto"/>
            <w:sz w:val="24"/>
            <w:szCs w:val="24"/>
          </w:rPr>
          <w:t>Instrução Normativa SEGES/ME nº 77, de 2022</w:t>
        </w:r>
      </w:hyperlink>
      <w:r>
        <w:rPr>
          <w:rFonts w:ascii="Times New Roman" w:hAnsi="Times New Roman"/>
          <w:color w:val="auto"/>
          <w:sz w:val="24"/>
          <w:szCs w:val="24"/>
        </w:rPr>
        <w:t>.</w:t>
      </w:r>
    </w:p>
    <w:p>
      <w:pPr>
        <w:pStyle w:val="Nivel2"/>
        <w:numPr>
          <w:ilvl w:val="1"/>
          <w:numId w:val="214"/>
        </w:numPr>
        <w:ind w:hanging="0" w:left="0"/>
        <w:rPr>
          <w:rFonts w:ascii="Times New Roman" w:hAnsi="Times New Roman"/>
          <w:color w:val="auto"/>
          <w:sz w:val="24"/>
          <w:szCs w:val="24"/>
        </w:rPr>
      </w:pPr>
      <w:r>
        <w:rPr>
          <w:rFonts w:ascii="Times New Roman" w:hAnsi="Times New Roman"/>
          <w:color w:val="auto"/>
          <w:sz w:val="24"/>
          <w:szCs w:val="24"/>
          <w:lang w:eastAsia="en-US"/>
        </w:rPr>
        <w:t>No caso de atraso pelo Contratante, os valores devidos ao contratado serão atualizados monetariamente entre o termo final do prazo de pagamento até a data de sua efetiva realização, mediante aplicação do índice</w:t>
      </w:r>
      <w:r>
        <w:rPr>
          <w:rFonts w:ascii="Times New Roman" w:hAnsi="Times New Roman"/>
          <w:b/>
          <w:bCs/>
          <w:color w:val="auto"/>
          <w:sz w:val="24"/>
          <w:szCs w:val="24"/>
          <w:lang w:eastAsia="en-US"/>
        </w:rPr>
        <w:t xml:space="preserve"> IPCA</w:t>
      </w:r>
      <w:r>
        <w:rPr>
          <w:rFonts w:ascii="Times New Roman" w:hAnsi="Times New Roman"/>
          <w:i/>
          <w:iCs/>
          <w:color w:val="auto"/>
          <w:sz w:val="24"/>
          <w:szCs w:val="24"/>
          <w:lang w:eastAsia="en-US"/>
        </w:rPr>
        <w:t xml:space="preserve"> </w:t>
      </w:r>
      <w:r>
        <w:rPr>
          <w:rFonts w:ascii="Times New Roman" w:hAnsi="Times New Roman"/>
          <w:color w:val="auto"/>
          <w:sz w:val="24"/>
          <w:szCs w:val="24"/>
          <w:lang w:eastAsia="en-US"/>
        </w:rPr>
        <w:t>de correção monetária.</w:t>
      </w:r>
    </w:p>
    <w:p>
      <w:pPr>
        <w:pStyle w:val="Nvel1-SemNumPreto"/>
        <w:ind w:hanging="0" w:left="0"/>
        <w:rPr>
          <w:color w:val="auto"/>
        </w:rPr>
      </w:pPr>
      <w:r>
        <w:rPr>
          <w:color w:val="auto"/>
        </w:rPr>
        <w:t>Forma de pagamento</w:t>
      </w:r>
    </w:p>
    <w:p>
      <w:pPr>
        <w:pStyle w:val="Nivel2"/>
        <w:numPr>
          <w:ilvl w:val="1"/>
          <w:numId w:val="215"/>
        </w:numPr>
        <w:ind w:hanging="0" w:left="0"/>
        <w:rPr>
          <w:rFonts w:ascii="Times New Roman" w:hAnsi="Times New Roman"/>
          <w:color w:val="auto"/>
          <w:sz w:val="24"/>
          <w:szCs w:val="24"/>
        </w:rPr>
      </w:pPr>
      <w:r>
        <w:rPr>
          <w:rFonts w:ascii="Times New Roman" w:hAnsi="Times New Roman"/>
          <w:color w:val="auto"/>
          <w:sz w:val="24"/>
          <w:szCs w:val="24"/>
          <w:lang w:eastAsia="en-US"/>
        </w:rPr>
        <w:t>O pagamento será realizado por meio de ordem bancária, para crédito em banco, agência e conta corrente indicados pelo contratado.</w:t>
      </w:r>
    </w:p>
    <w:p>
      <w:pPr>
        <w:pStyle w:val="Nivel2"/>
        <w:numPr>
          <w:ilvl w:val="1"/>
          <w:numId w:val="216"/>
        </w:numPr>
        <w:ind w:hanging="0" w:left="0"/>
        <w:rPr>
          <w:rFonts w:ascii="Times New Roman" w:hAnsi="Times New Roman"/>
          <w:color w:val="auto"/>
          <w:sz w:val="24"/>
          <w:szCs w:val="24"/>
        </w:rPr>
      </w:pPr>
      <w:r>
        <w:rPr>
          <w:rFonts w:ascii="Times New Roman" w:hAnsi="Times New Roman"/>
          <w:color w:val="auto"/>
          <w:sz w:val="24"/>
          <w:szCs w:val="24"/>
          <w:lang w:eastAsia="en-US"/>
        </w:rPr>
        <w:t>Será considerada data do pagamento o dia em que constar como emitida a ordem bancária para pagamento.</w:t>
      </w:r>
    </w:p>
    <w:p>
      <w:pPr>
        <w:pStyle w:val="Nivel2"/>
        <w:numPr>
          <w:ilvl w:val="1"/>
          <w:numId w:val="217"/>
        </w:numPr>
        <w:ind w:hanging="0" w:left="0"/>
        <w:rPr>
          <w:rFonts w:ascii="Times New Roman" w:hAnsi="Times New Roman"/>
          <w:color w:val="auto"/>
          <w:sz w:val="24"/>
          <w:szCs w:val="24"/>
        </w:rPr>
      </w:pPr>
      <w:r>
        <w:rPr>
          <w:rFonts w:ascii="Times New Roman" w:hAnsi="Times New Roman"/>
          <w:color w:val="auto"/>
          <w:sz w:val="24"/>
          <w:szCs w:val="24"/>
          <w:lang w:eastAsia="en-US"/>
        </w:rPr>
        <w:t>Quando do pagamento, será efetuada a retenção tributária prevista na legislação aplicável.</w:t>
      </w:r>
    </w:p>
    <w:p>
      <w:pPr>
        <w:pStyle w:val="Nivel3"/>
        <w:numPr>
          <w:ilvl w:val="2"/>
          <w:numId w:val="218"/>
        </w:numPr>
        <w:ind w:hanging="0" w:left="284"/>
        <w:rPr>
          <w:rFonts w:ascii="Times New Roman" w:hAnsi="Times New Roman"/>
          <w:color w:val="auto"/>
          <w:sz w:val="24"/>
          <w:szCs w:val="24"/>
        </w:rPr>
      </w:pPr>
      <w:r>
        <w:rPr>
          <w:rFonts w:ascii="Times New Roman" w:hAnsi="Times New Roman"/>
          <w:color w:val="auto"/>
          <w:sz w:val="24"/>
          <w:szCs w:val="24"/>
          <w:lang w:eastAsia="en-US"/>
        </w:rPr>
        <w:t>Independentemente do percentual de tributo inserido na planilha, quando houver, serão retidos na fonte, quando da realização do pagamento, os percentuais estabelecidos na legislação vigente.</w:t>
      </w:r>
    </w:p>
    <w:p>
      <w:pPr>
        <w:pStyle w:val="Nivel2"/>
        <w:numPr>
          <w:ilvl w:val="1"/>
          <w:numId w:val="219"/>
        </w:numPr>
        <w:ind w:hanging="0" w:left="0"/>
        <w:rPr>
          <w:color w:val="auto"/>
        </w:rPr>
      </w:pPr>
      <w:r>
        <w:rPr>
          <w:rFonts w:ascii="Times New Roman" w:hAnsi="Times New Roman"/>
          <w:color w:val="auto"/>
          <w:sz w:val="24"/>
          <w:szCs w:val="24"/>
          <w:lang w:eastAsia="en-US"/>
        </w:rPr>
        <w:t xml:space="preserve">O contratado regularmente optante pelo Simples Nacional, nos termos da </w:t>
      </w:r>
      <w:hyperlink r:id="rId4">
        <w:r>
          <w:rPr>
            <w:rStyle w:val="Hyperlink"/>
            <w:rFonts w:ascii="Times New Roman" w:hAnsi="Times New Roman"/>
            <w:color w:val="auto"/>
            <w:sz w:val="24"/>
            <w:szCs w:val="24"/>
            <w:lang w:eastAsia="en-US"/>
          </w:rPr>
          <w:t>Lei Complementar nº 123, de 2006</w:t>
        </w:r>
      </w:hyperlink>
      <w:r>
        <w:rPr>
          <w:rFonts w:ascii="Times New Roman" w:hAnsi="Times New Roman"/>
          <w:color w:val="auto"/>
          <w:sz w:val="24"/>
          <w:szCs w:val="24"/>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pPr>
        <w:pStyle w:val="Nvel1-SemNumPreto"/>
        <w:ind w:hanging="0" w:left="0"/>
        <w:rPr>
          <w:color w:val="auto"/>
        </w:rPr>
      </w:pPr>
      <w:r>
        <w:rPr>
          <w:color w:val="auto"/>
        </w:rPr>
        <w:t>Cessão de crédito</w:t>
      </w:r>
    </w:p>
    <w:p>
      <w:pPr>
        <w:pStyle w:val="Nivel2"/>
        <w:numPr>
          <w:ilvl w:val="1"/>
          <w:numId w:val="220"/>
        </w:numPr>
        <w:ind w:hanging="0" w:left="0"/>
        <w:rPr>
          <w:color w:val="auto"/>
        </w:rPr>
      </w:pPr>
      <w:bookmarkStart w:id="2" w:name="_Ref154079397"/>
      <w:r>
        <w:rPr>
          <w:rFonts w:ascii="Times New Roman" w:hAnsi="Times New Roman"/>
          <w:color w:val="auto"/>
          <w:sz w:val="24"/>
          <w:szCs w:val="24"/>
          <w:lang w:eastAsia="en-US"/>
        </w:rPr>
        <w:t xml:space="preserve">É admitida a cessão fiduciária de direitos creditícios com instituição financeira, nos termos e de acordo com os procedimentos previstos na </w:t>
      </w:r>
      <w:hyperlink r:id="rId5">
        <w:r>
          <w:rPr>
            <w:rStyle w:val="Hyperlink"/>
            <w:rFonts w:ascii="Times New Roman" w:hAnsi="Times New Roman"/>
            <w:color w:val="auto"/>
            <w:sz w:val="24"/>
            <w:szCs w:val="24"/>
            <w:lang w:eastAsia="en-US"/>
          </w:rPr>
          <w:t>Instrução Normativa SEGES/ME nº 53, de 8 de Julho de 2020</w:t>
        </w:r>
      </w:hyperlink>
      <w:r>
        <w:rPr>
          <w:rFonts w:ascii="Times New Roman" w:hAnsi="Times New Roman"/>
          <w:color w:val="auto"/>
          <w:sz w:val="24"/>
          <w:szCs w:val="24"/>
          <w:lang w:eastAsia="en-US"/>
        </w:rPr>
        <w:t>, conforme as regras deste presente tópico.</w:t>
      </w:r>
      <w:bookmarkEnd w:id="2"/>
    </w:p>
    <w:p>
      <w:pPr>
        <w:pStyle w:val="Nivel2"/>
        <w:numPr>
          <w:ilvl w:val="1"/>
          <w:numId w:val="221"/>
        </w:numPr>
        <w:ind w:hanging="0" w:left="0"/>
        <w:rPr>
          <w:color w:val="auto"/>
        </w:rPr>
      </w:pPr>
      <w:r>
        <w:rPr>
          <w:rFonts w:ascii="Times New Roman" w:hAnsi="Times New Roman"/>
          <w:color w:val="auto"/>
          <w:sz w:val="24"/>
          <w:szCs w:val="24"/>
          <w:lang w:eastAsia="en-US"/>
        </w:rPr>
        <w:t xml:space="preserve">Sem prejuízo do regular atendimento da obrigação contratual de cumprimento de todas as condições de habilitação por parte do contratado (cedente), a celebração do aditamento de cessão de crédito e a realização dos pagamentos respectivos também se condicionam à regularidade fiscal e trabalhista do cessionário, bem como à certificação de que o cessionário não se encontra impedido de licitar e contratar com o Poder Público, conforme a legislação em vigor, ou de receber benefícios ou incentivos fiscais ou creditícios, direta ou indiretamente, conforme </w:t>
      </w:r>
      <w:r>
        <w:fldChar w:fldCharType="begin"/>
      </w:r>
      <w:r>
        <w:rPr>
          <w:rStyle w:val="Hyperlink"/>
          <w:sz w:val="24"/>
          <w:szCs w:val="24"/>
          <w:rFonts w:ascii="Times New Roman" w:hAnsi="Times New Roman"/>
          <w:color w:val="auto"/>
          <w:lang w:eastAsia="en-US"/>
        </w:rPr>
        <w:instrText xml:space="preserve"> HYPERLINK "https://www.planalto.gov.br/ccivil_03/leis/l8429.htm" \l ":~:text=LEI Nº 8.429%2C DE 2 DE JUNHO DE 1992&amp;text=Dispõe sobre as sanções aplicáveis,fundacional e dá outras providências."</w:instrText>
      </w:r>
      <w:r>
        <w:rPr>
          <w:rStyle w:val="Hyperlink"/>
          <w:sz w:val="24"/>
          <w:szCs w:val="24"/>
          <w:rFonts w:ascii="Times New Roman" w:hAnsi="Times New Roman"/>
          <w:color w:val="auto"/>
          <w:lang w:eastAsia="en-US"/>
        </w:rPr>
        <w:fldChar w:fldCharType="separate"/>
      </w:r>
      <w:r>
        <w:rPr>
          <w:rStyle w:val="Hyperlink"/>
          <w:rFonts w:ascii="Times New Roman" w:hAnsi="Times New Roman"/>
          <w:color w:val="auto"/>
          <w:sz w:val="24"/>
          <w:szCs w:val="24"/>
          <w:lang w:eastAsia="en-US"/>
        </w:rPr>
        <w:t>o art. 12 da Lei nº 8.429, de 1992</w:t>
      </w:r>
      <w:r>
        <w:rPr>
          <w:rStyle w:val="Hyperlink"/>
          <w:sz w:val="24"/>
          <w:szCs w:val="24"/>
          <w:rFonts w:ascii="Times New Roman" w:hAnsi="Times New Roman"/>
          <w:color w:val="auto"/>
          <w:lang w:eastAsia="en-US"/>
        </w:rPr>
        <w:fldChar w:fldCharType="end"/>
      </w:r>
      <w:r>
        <w:rPr>
          <w:rFonts w:ascii="Times New Roman" w:hAnsi="Times New Roman"/>
          <w:color w:val="auto"/>
          <w:sz w:val="24"/>
          <w:szCs w:val="24"/>
          <w:lang w:eastAsia="en-US"/>
        </w:rPr>
        <w:t xml:space="preserve">, nos termos do </w:t>
      </w:r>
      <w:hyperlink r:id="rId6">
        <w:r>
          <w:rPr>
            <w:rStyle w:val="Hyperlink"/>
            <w:rFonts w:ascii="Times New Roman" w:hAnsi="Times New Roman"/>
            <w:color w:val="auto"/>
            <w:sz w:val="24"/>
            <w:szCs w:val="24"/>
            <w:lang w:eastAsia="en-US"/>
          </w:rPr>
          <w:t>Parecer JL-01, de 18 de maio de 2020.</w:t>
        </w:r>
      </w:hyperlink>
    </w:p>
    <w:p>
      <w:pPr>
        <w:pStyle w:val="Nivel2"/>
        <w:numPr>
          <w:ilvl w:val="1"/>
          <w:numId w:val="222"/>
        </w:numPr>
        <w:ind w:hanging="0" w:left="0"/>
        <w:rPr>
          <w:rFonts w:ascii="Times New Roman" w:hAnsi="Times New Roman"/>
          <w:color w:val="auto"/>
          <w:sz w:val="24"/>
          <w:szCs w:val="24"/>
        </w:rPr>
      </w:pPr>
      <w:r>
        <w:rPr>
          <w:rFonts w:ascii="Times New Roman" w:hAnsi="Times New Roman"/>
          <w:color w:val="auto"/>
          <w:sz w:val="24"/>
          <w:szCs w:val="24"/>
        </w:rPr>
        <w:t>O crédito a ser pago à cessionária é exatamente aquele que seria destinado à cedente (contratado) pela execução do objeto contratual, restando absolutamente incólumes todas as defesas e exceções ao pagamento e todas as demais cláusulas exorbitantes ao direito comum aplicáveis no regime jurídico de direito público incidente sobre os contratos administrativos, incluindo a possibilidade de pagamento em conta vinculada ou de pagamento pela efetiva comprovação do fato gerador, quando for o caso, e o desconto de multas, glosas e prejuízos causados à Administração. (INSTRUÇÃO NORMATIVA Nº 53, DE 8 DE JULHO DE 2020 e Anexos)</w:t>
      </w:r>
    </w:p>
    <w:p>
      <w:pPr>
        <w:pStyle w:val="Nivel2"/>
        <w:numPr>
          <w:ilvl w:val="1"/>
          <w:numId w:val="223"/>
        </w:numPr>
        <w:ind w:hanging="0" w:left="0"/>
        <w:rPr>
          <w:rFonts w:ascii="Times New Roman" w:hAnsi="Times New Roman"/>
          <w:color w:val="auto"/>
          <w:sz w:val="24"/>
          <w:szCs w:val="24"/>
        </w:rPr>
      </w:pPr>
      <w:r>
        <w:rPr>
          <w:rFonts w:ascii="Times New Roman" w:hAnsi="Times New Roman"/>
          <w:color w:val="auto"/>
          <w:sz w:val="24"/>
          <w:szCs w:val="24"/>
          <w:lang w:eastAsia="en-US"/>
        </w:rPr>
        <w:t>A cessão de crédito não afetará a execução do objeto contratado, que continuará sob a integral responsabilidade do contratado.</w:t>
      </w:r>
    </w:p>
    <w:p>
      <w:pPr>
        <w:pStyle w:val="Nivel01"/>
        <w:numPr>
          <w:ilvl w:val="0"/>
          <w:numId w:val="4"/>
        </w:numPr>
        <w:ind w:hanging="0" w:left="0"/>
        <w:rPr>
          <w:shd w:fill="FFFFFF" w:val="clear"/>
        </w:rPr>
      </w:pPr>
      <w:r>
        <w:rPr>
          <w:shd w:fill="FFFFFF" w:val="clear"/>
        </w:rPr>
        <w:t>FORMA E CRITÉRIOS DE SELEÇÃO DO FORNECEDOR E FORMA DE FORNECIMENTO</w:t>
      </w:r>
    </w:p>
    <w:p>
      <w:pPr>
        <w:pStyle w:val="Nivel2"/>
        <w:numPr>
          <w:ilvl w:val="1"/>
          <w:numId w:val="224"/>
        </w:numPr>
        <w:ind w:hanging="0" w:left="0"/>
        <w:rPr>
          <w:rFonts w:ascii="Times New Roman" w:hAnsi="Times New Roman" w:eastAsia="Ecofont_Spranq_eco_Sans" w:cs="Ecofont_Spranq_eco_Sans"/>
          <w:color w:val="auto"/>
          <w:sz w:val="24"/>
          <w:szCs w:val="24"/>
        </w:rPr>
      </w:pPr>
      <w:r>
        <w:rPr>
          <w:rFonts w:eastAsia="Ecofont_Spranq_eco_Sans" w:cs="Ecofont_Spranq_eco_Sans" w:ascii="Times New Roman" w:hAnsi="Times New Roman"/>
          <w:color w:val="auto"/>
          <w:sz w:val="24"/>
          <w:szCs w:val="24"/>
        </w:rPr>
        <w:t xml:space="preserve">O fornecedor será selecionado por meio da realização de procedimento de dispensa de licitação, com fundamento na hipótese do </w:t>
      </w:r>
      <w:r>
        <w:rPr>
          <w:rFonts w:eastAsia="Ecofont_Spranq_eco_Sans" w:cs="Ecofont_Spranq_eco_Sans" w:ascii="Times New Roman" w:hAnsi="Times New Roman"/>
          <w:b/>
          <w:bCs/>
          <w:color w:val="auto"/>
          <w:sz w:val="24"/>
          <w:szCs w:val="24"/>
        </w:rPr>
        <w:t>art. 75, inciso II, da Lei nº 14.133/2021</w:t>
      </w:r>
      <w:r>
        <w:rPr>
          <w:rFonts w:eastAsia="Ecofont_Spranq_eco_Sans" w:cs="Ecofont_Spranq_eco_Sans" w:ascii="Times New Roman" w:hAnsi="Times New Roman"/>
          <w:color w:val="auto"/>
          <w:sz w:val="24"/>
          <w:szCs w:val="24"/>
        </w:rPr>
        <w:t xml:space="preserve">. </w:t>
      </w:r>
    </w:p>
    <w:p>
      <w:pPr>
        <w:pStyle w:val="Nvel1-SemNumPreto"/>
        <w:ind w:hanging="0" w:left="0"/>
        <w:rPr>
          <w:color w:val="auto"/>
        </w:rPr>
      </w:pPr>
      <w:r>
        <w:rPr>
          <w:color w:val="auto"/>
        </w:rPr>
        <w:t>Forma de fornecimento</w:t>
      </w:r>
    </w:p>
    <w:p>
      <w:pPr>
        <w:pStyle w:val="Nivel2"/>
        <w:numPr>
          <w:ilvl w:val="1"/>
          <w:numId w:val="225"/>
        </w:numPr>
        <w:ind w:hanging="0" w:left="0"/>
        <w:rPr>
          <w:color w:val="auto"/>
        </w:rPr>
      </w:pPr>
      <w:r>
        <w:rPr>
          <w:rStyle w:val="Normaltextrun"/>
          <w:rFonts w:ascii="Times New Roman" w:hAnsi="Times New Roman"/>
          <w:sz w:val="24"/>
          <w:szCs w:val="24"/>
          <w:shd w:fill="FFFFFF" w:val="clear"/>
        </w:rPr>
        <w:t xml:space="preserve">O </w:t>
      </w:r>
      <w:r>
        <w:rPr>
          <w:rStyle w:val="Findhit"/>
          <w:rFonts w:ascii="Times New Roman" w:hAnsi="Times New Roman"/>
          <w:sz w:val="24"/>
          <w:szCs w:val="24"/>
          <w:shd w:fill="FFFFFF" w:val="clear"/>
        </w:rPr>
        <w:t>fornecimento do objeto será integral</w:t>
      </w:r>
      <w:r>
        <w:rPr>
          <w:rFonts w:ascii="Times New Roman" w:hAnsi="Times New Roman"/>
          <w:sz w:val="24"/>
          <w:szCs w:val="24"/>
          <w:shd w:fill="FFFFFF" w:val="clear"/>
        </w:rPr>
        <w:t>.</w:t>
      </w:r>
    </w:p>
    <w:p>
      <w:pPr>
        <w:pStyle w:val="Nvel1-SemNumPreto"/>
        <w:ind w:hanging="0" w:left="0"/>
        <w:rPr>
          <w:color w:val="auto"/>
        </w:rPr>
      </w:pPr>
      <w:r>
        <w:rPr>
          <w:color w:val="auto"/>
        </w:rPr>
        <w:t>Exigências de habilitação</w:t>
      </w:r>
    </w:p>
    <w:p>
      <w:pPr>
        <w:pStyle w:val="Nivel2"/>
        <w:numPr>
          <w:ilvl w:val="1"/>
          <w:numId w:val="226"/>
        </w:numPr>
        <w:ind w:hanging="432" w:left="0"/>
        <w:rPr>
          <w:rFonts w:ascii="Times New Roman" w:hAnsi="Times New Roman" w:eastAsia="Ecofont_Spranq_eco_Sans" w:cs="Ecofont_Spranq_eco_Sans"/>
          <w:color w:val="auto"/>
          <w:sz w:val="24"/>
          <w:szCs w:val="24"/>
        </w:rPr>
      </w:pPr>
      <w:r>
        <w:rPr>
          <w:rFonts w:eastAsia="Ecofont_Spranq_eco_Sans" w:cs="Ecofont_Spranq_eco_Sans" w:ascii="Times New Roman" w:hAnsi="Times New Roman"/>
          <w:color w:val="auto"/>
          <w:sz w:val="24"/>
          <w:szCs w:val="24"/>
        </w:rPr>
        <w:t xml:space="preserve">Previamente à celebração do contrato, a Administração verificará o eventual descumprimento das condições para contratação, especialmente quanto à existência de sanção que a impeça, mediante a consulta a cadastros informativos oficiais, tais como:  </w:t>
      </w:r>
    </w:p>
    <w:p>
      <w:pPr>
        <w:pStyle w:val="Normal"/>
        <w:spacing w:lineRule="auto" w:line="276" w:before="120" w:after="120"/>
        <w:ind w:left="810"/>
        <w:jc w:val="both"/>
        <w:rPr/>
      </w:pPr>
      <w:r>
        <w:rPr>
          <w:rFonts w:eastAsia="Arial" w:cs="Arial" w:ascii="Times New Roman" w:hAnsi="Times New Roman"/>
        </w:rPr>
        <w:t xml:space="preserve">a) SICAF;  </w:t>
      </w:r>
    </w:p>
    <w:p>
      <w:pPr>
        <w:pStyle w:val="Normal"/>
        <w:spacing w:lineRule="auto" w:line="276" w:before="120" w:after="120"/>
        <w:ind w:left="810"/>
        <w:jc w:val="both"/>
        <w:rPr/>
      </w:pPr>
      <w:r>
        <w:rPr>
          <w:rFonts w:eastAsia="Arial" w:cs="Arial" w:ascii="Times New Roman" w:hAnsi="Times New Roman"/>
        </w:rPr>
        <w:t>b) Cadastro Nacional de Empresas Inidôneas e Suspensas - CEIS, mantido pela Controladoria-Geral da União (</w:t>
      </w:r>
      <w:hyperlink r:id="rId7">
        <w:r>
          <w:rPr>
            <w:rStyle w:val="Hyperlink"/>
            <w:rFonts w:eastAsia="Arial" w:cs="Arial" w:ascii="Times New Roman" w:hAnsi="Times New Roman"/>
            <w:color w:val="auto"/>
          </w:rPr>
          <w:t>www.portaldatransparencia.gov.br/ceis</w:t>
        </w:r>
      </w:hyperlink>
      <w:r>
        <w:rPr>
          <w:rFonts w:eastAsia="Arial" w:cs="Arial" w:ascii="Times New Roman" w:hAnsi="Times New Roman"/>
        </w:rPr>
        <w:t xml:space="preserve">);  </w:t>
      </w:r>
    </w:p>
    <w:p>
      <w:pPr>
        <w:pStyle w:val="Normal"/>
        <w:spacing w:lineRule="auto" w:line="276" w:before="120" w:after="120"/>
        <w:ind w:left="810"/>
        <w:jc w:val="both"/>
        <w:rPr/>
      </w:pPr>
      <w:r>
        <w:rPr>
          <w:rFonts w:eastAsia="Arial" w:cs="Arial" w:ascii="Times New Roman" w:hAnsi="Times New Roman"/>
        </w:rPr>
        <w:t>c) Cadastro Nacional de Empresas Punidas – CNEP, mantido pela Controladoria-Geral da União (</w:t>
      </w:r>
      <w:hyperlink r:id="rId8">
        <w:r>
          <w:rPr>
            <w:rStyle w:val="Hyperlink"/>
            <w:rFonts w:eastAsia="Arial" w:cs="Arial" w:ascii="Times New Roman" w:hAnsi="Times New Roman"/>
            <w:color w:val="auto"/>
          </w:rPr>
          <w:t>https://www.portaltransparencia.gov.br/sancoes/cnep</w:t>
        </w:r>
      </w:hyperlink>
      <w:r>
        <w:rPr>
          <w:rFonts w:eastAsia="Arial" w:cs="Arial" w:ascii="Times New Roman" w:hAnsi="Times New Roman"/>
        </w:rPr>
        <w:t>)</w:t>
      </w:r>
    </w:p>
    <w:p>
      <w:pPr>
        <w:pStyle w:val="Nivel2"/>
        <w:numPr>
          <w:ilvl w:val="1"/>
          <w:numId w:val="227"/>
        </w:numPr>
        <w:ind w:hanging="432" w:left="0"/>
        <w:rPr>
          <w:color w:val="auto"/>
        </w:rPr>
      </w:pPr>
      <w:r>
        <w:rPr>
          <w:rFonts w:ascii="Times New Roman" w:hAnsi="Times New Roman"/>
          <w:color w:val="auto"/>
          <w:sz w:val="24"/>
          <w:szCs w:val="24"/>
        </w:rPr>
        <w:t>A consulta aos cadastros será realizada em nome da empresa interessada e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pPr>
        <w:pStyle w:val="Nivel2"/>
        <w:numPr>
          <w:ilvl w:val="1"/>
          <w:numId w:val="228"/>
        </w:numPr>
        <w:ind w:hanging="432" w:left="0"/>
        <w:rPr>
          <w:color w:val="auto"/>
        </w:rPr>
      </w:pPr>
      <w:r>
        <w:rPr>
          <w:rFonts w:ascii="Times New Roman" w:hAnsi="Times New Roman"/>
          <w:color w:val="auto"/>
          <w:sz w:val="24"/>
          <w:szCs w:val="24"/>
        </w:rPr>
        <w:t>Caso conste na Consulta de Situação do interessado a existência de Ocorrências Impeditivas Indiretas, o gestor diligenciará para verificar se houve fraude por parte das empresas apontadas no Relatório de Ocorrências Impeditivas Indiretas.</w:t>
      </w:r>
    </w:p>
    <w:p>
      <w:pPr>
        <w:pStyle w:val="Nivel2"/>
        <w:numPr>
          <w:ilvl w:val="1"/>
          <w:numId w:val="229"/>
        </w:numPr>
        <w:ind w:hanging="432" w:left="0"/>
        <w:rPr>
          <w:color w:val="auto"/>
        </w:rPr>
      </w:pPr>
      <w:r>
        <w:rPr>
          <w:rFonts w:ascii="Times New Roman" w:hAnsi="Times New Roman"/>
          <w:color w:val="auto"/>
          <w:sz w:val="24"/>
          <w:szCs w:val="24"/>
        </w:rPr>
        <w:t>A tentativa de burla será verificada por meio dos vínculos societários, linhas de fornecimento similares, dentre outros.</w:t>
      </w:r>
    </w:p>
    <w:p>
      <w:pPr>
        <w:pStyle w:val="Nivel2"/>
        <w:numPr>
          <w:ilvl w:val="1"/>
          <w:numId w:val="230"/>
        </w:numPr>
        <w:ind w:hanging="432" w:left="0"/>
        <w:rPr>
          <w:color w:val="auto"/>
        </w:rPr>
      </w:pPr>
      <w:r>
        <w:rPr>
          <w:rFonts w:ascii="Times New Roman" w:hAnsi="Times New Roman"/>
          <w:color w:val="auto"/>
          <w:sz w:val="24"/>
          <w:szCs w:val="24"/>
        </w:rPr>
        <w:t>O interessado será convocado para manifestação previamente a uma eventual negativa de contratação.</w:t>
      </w:r>
    </w:p>
    <w:p>
      <w:pPr>
        <w:pStyle w:val="Nivel2"/>
        <w:numPr>
          <w:ilvl w:val="1"/>
          <w:numId w:val="231"/>
        </w:numPr>
        <w:ind w:hanging="432" w:left="0"/>
        <w:rPr>
          <w:color w:val="auto"/>
        </w:rPr>
      </w:pPr>
      <w:r>
        <w:rPr>
          <w:rFonts w:ascii="Times New Roman" w:hAnsi="Times New Roman"/>
          <w:color w:val="auto"/>
          <w:sz w:val="24"/>
          <w:szCs w:val="24"/>
        </w:rPr>
        <w:t>Caso atendidas as condições para contratação, a habilitação do interessado será verificada por meio do SICAF, nos documentos por ele abrangidos.</w:t>
      </w:r>
    </w:p>
    <w:p>
      <w:pPr>
        <w:pStyle w:val="Nivel2"/>
        <w:numPr>
          <w:ilvl w:val="1"/>
          <w:numId w:val="232"/>
        </w:numPr>
        <w:ind w:hanging="432" w:left="0"/>
        <w:rPr>
          <w:color w:val="auto"/>
        </w:rPr>
      </w:pPr>
      <w:r>
        <w:rPr>
          <w:rFonts w:ascii="Times New Roman" w:hAnsi="Times New Roman"/>
          <w:color w:val="auto"/>
          <w:sz w:val="24"/>
          <w:szCs w:val="24"/>
        </w:rPr>
        <w:t>É dever do interessado manter atualizada a respectiva documentação constante do SICAF, ou encaminhar, quando solicitado pela Administração, a respectiva documentação atualizada.</w:t>
      </w:r>
    </w:p>
    <w:p>
      <w:pPr>
        <w:pStyle w:val="Nivel2"/>
        <w:numPr>
          <w:ilvl w:val="1"/>
          <w:numId w:val="233"/>
        </w:numPr>
        <w:ind w:hanging="432" w:left="0"/>
        <w:rPr>
          <w:color w:val="auto"/>
        </w:rPr>
      </w:pPr>
      <w:r>
        <w:rPr>
          <w:rFonts w:ascii="Times New Roman" w:hAnsi="Times New Roman"/>
          <w:color w:val="auto"/>
          <w:sz w:val="24"/>
          <w:szCs w:val="24"/>
        </w:rPr>
        <w:t>Não serão aceitos documentos de habilitação com indicação de CNPJ/CPF diferentes, salvo aqueles legalmente permitidos.</w:t>
      </w:r>
    </w:p>
    <w:p>
      <w:pPr>
        <w:pStyle w:val="Nivel2"/>
        <w:numPr>
          <w:ilvl w:val="1"/>
          <w:numId w:val="234"/>
        </w:numPr>
        <w:ind w:hanging="432" w:left="0"/>
        <w:rPr>
          <w:color w:val="auto"/>
        </w:rPr>
      </w:pPr>
      <w:r>
        <w:rPr>
          <w:rFonts w:ascii="Times New Roman" w:hAnsi="Times New Roman"/>
          <w:color w:val="auto"/>
          <w:sz w:val="24"/>
          <w:szCs w:val="24"/>
        </w:rPr>
        <w:t>Se o interessado for a matriz, todos os documentos deverão estar em nome da matriz, e se o fornecedor for a filial, todos os documentos deverão estar em nome da filial, exceto para atestados de capacidade técnica, caso exigidos, e no caso daqueles documentos que, pela própria natureza, comprovadamente, forem emitidos somente em nome da matriz.</w:t>
      </w:r>
    </w:p>
    <w:p>
      <w:pPr>
        <w:pStyle w:val="Nivel2"/>
        <w:numPr>
          <w:ilvl w:val="1"/>
          <w:numId w:val="235"/>
        </w:numPr>
        <w:ind w:hanging="432" w:left="0"/>
        <w:rPr>
          <w:color w:val="auto"/>
        </w:rPr>
      </w:pPr>
      <w:r>
        <w:rPr>
          <w:rFonts w:ascii="Times New Roman" w:hAnsi="Times New Roman"/>
          <w:color w:val="auto"/>
          <w:sz w:val="24"/>
          <w:szCs w:val="24"/>
        </w:rPr>
        <w:t>Serão aceitos registros de CNPJ de fornecedor matriz e filial com diferenças de números de documentos pertinentes ao CND e ao CRF/FGTS, quando for comprovada a centralização do recolhimento dessas contribuições.</w:t>
      </w:r>
    </w:p>
    <w:p>
      <w:pPr>
        <w:pStyle w:val="Nivel2"/>
        <w:numPr>
          <w:ilvl w:val="1"/>
          <w:numId w:val="236"/>
        </w:numPr>
        <w:ind w:hanging="0" w:left="0"/>
        <w:rPr>
          <w:rFonts w:ascii="Times New Roman" w:hAnsi="Times New Roman"/>
          <w:color w:val="auto"/>
          <w:sz w:val="24"/>
          <w:szCs w:val="24"/>
        </w:rPr>
      </w:pPr>
      <w:r>
        <w:rPr>
          <w:rFonts w:ascii="Times New Roman" w:hAnsi="Times New Roman"/>
          <w:color w:val="auto"/>
          <w:sz w:val="24"/>
          <w:szCs w:val="24"/>
        </w:rPr>
        <w:t>Para fins de habilitação, deverá o</w:t>
      </w:r>
      <w:r>
        <w:rPr>
          <w:rFonts w:ascii="Times New Roman" w:hAnsi="Times New Roman"/>
          <w:sz w:val="24"/>
          <w:szCs w:val="24"/>
          <w:shd w:fill="FFFFFF" w:val="clear"/>
        </w:rPr>
        <w:t xml:space="preserve"> interessado comprovar os seguintes requisitos, que serão exigidos conforme sua natureza jurídica:</w:t>
      </w:r>
    </w:p>
    <w:p>
      <w:pPr>
        <w:pStyle w:val="Nvel1-SemNumPreto"/>
        <w:ind w:hanging="0" w:left="0"/>
        <w:rPr>
          <w:color w:val="auto"/>
        </w:rPr>
      </w:pPr>
      <w:r>
        <w:rPr>
          <w:color w:val="auto"/>
        </w:rPr>
        <w:t>Habilitação jurídica</w:t>
      </w:r>
    </w:p>
    <w:p>
      <w:pPr>
        <w:pStyle w:val="Nivel2"/>
        <w:numPr>
          <w:ilvl w:val="1"/>
          <w:numId w:val="237"/>
        </w:numPr>
        <w:ind w:hanging="0" w:left="0"/>
        <w:rPr>
          <w:rFonts w:ascii="Times New Roman" w:hAnsi="Times New Roman"/>
          <w:color w:val="auto"/>
          <w:sz w:val="24"/>
          <w:szCs w:val="24"/>
        </w:rPr>
      </w:pPr>
      <w:bookmarkStart w:id="3" w:name="_Ref115800561"/>
      <w:r>
        <w:rPr>
          <w:rFonts w:ascii="Times New Roman" w:hAnsi="Times New Roman"/>
          <w:b/>
          <w:bCs/>
          <w:color w:val="auto"/>
          <w:sz w:val="24"/>
          <w:szCs w:val="24"/>
        </w:rPr>
        <w:t>Pessoa física:</w:t>
      </w:r>
      <w:r>
        <w:rPr>
          <w:rFonts w:ascii="Times New Roman" w:hAnsi="Times New Roman"/>
          <w:color w:val="auto"/>
          <w:sz w:val="24"/>
          <w:szCs w:val="24"/>
        </w:rPr>
        <w:t xml:space="preserve"> cédula de identidade (RG) ou documento equivalente que, por força de lei, tenha validade para fins de identificação em todo o território nacional;</w:t>
      </w:r>
      <w:bookmarkEnd w:id="3"/>
    </w:p>
    <w:p>
      <w:pPr>
        <w:pStyle w:val="Nivel2"/>
        <w:numPr>
          <w:ilvl w:val="1"/>
          <w:numId w:val="238"/>
        </w:numPr>
        <w:ind w:hanging="0" w:left="0"/>
        <w:rPr>
          <w:rFonts w:ascii="Times New Roman" w:hAnsi="Times New Roman"/>
          <w:color w:val="auto"/>
          <w:sz w:val="24"/>
          <w:szCs w:val="24"/>
        </w:rPr>
      </w:pPr>
      <w:r>
        <w:rPr>
          <w:rFonts w:ascii="Times New Roman" w:hAnsi="Times New Roman"/>
          <w:b/>
          <w:bCs/>
          <w:color w:val="auto"/>
          <w:sz w:val="24"/>
          <w:szCs w:val="24"/>
        </w:rPr>
        <w:t>Empresário individual:</w:t>
      </w:r>
      <w:r>
        <w:rPr>
          <w:rFonts w:ascii="Times New Roman" w:hAnsi="Times New Roman"/>
          <w:color w:val="auto"/>
          <w:sz w:val="24"/>
          <w:szCs w:val="24"/>
        </w:rPr>
        <w:t xml:space="preserve"> inscrição no Registro Público de Empresas Mercantis, a cargo da Junta Comercial da respectiva sede; </w:t>
      </w:r>
    </w:p>
    <w:p>
      <w:pPr>
        <w:pStyle w:val="Nivel2"/>
        <w:numPr>
          <w:ilvl w:val="1"/>
          <w:numId w:val="239"/>
        </w:numPr>
        <w:ind w:hanging="0" w:left="0"/>
        <w:rPr>
          <w:color w:val="auto"/>
        </w:rPr>
      </w:pPr>
      <w:r>
        <w:rPr>
          <w:rFonts w:ascii="Times New Roman" w:hAnsi="Times New Roman"/>
          <w:b/>
          <w:bCs/>
          <w:color w:val="auto"/>
          <w:sz w:val="24"/>
          <w:szCs w:val="24"/>
        </w:rPr>
        <w:t>Microempreendedor Individual - MEI:</w:t>
      </w:r>
      <w:r>
        <w:rPr>
          <w:rFonts w:ascii="Times New Roman" w:hAnsi="Times New Roman"/>
          <w:color w:val="auto"/>
          <w:sz w:val="24"/>
          <w:szCs w:val="24"/>
        </w:rPr>
        <w:t xml:space="preserve"> Certificado da Condição de Microempreendedor Individual - CCMEI, cuja aceitação ficará condicionada à verificação da autenticidade no sítio </w:t>
      </w:r>
      <w:hyperlink r:id="rId9">
        <w:r>
          <w:rPr>
            <w:rStyle w:val="Hyperlink"/>
            <w:rFonts w:ascii="Times New Roman" w:hAnsi="Times New Roman"/>
            <w:color w:val="auto"/>
            <w:sz w:val="24"/>
            <w:szCs w:val="24"/>
          </w:rPr>
          <w:t>https://www.gov.br/empresas-e-negocios/pt-br/empreendedor</w:t>
        </w:r>
      </w:hyperlink>
      <w:r>
        <w:rPr>
          <w:rFonts w:ascii="Times New Roman" w:hAnsi="Times New Roman"/>
          <w:color w:val="auto"/>
          <w:sz w:val="24"/>
          <w:szCs w:val="24"/>
        </w:rPr>
        <w:t xml:space="preserve">; </w:t>
      </w:r>
    </w:p>
    <w:p>
      <w:pPr>
        <w:pStyle w:val="Nivel2"/>
        <w:numPr>
          <w:ilvl w:val="1"/>
          <w:numId w:val="240"/>
        </w:numPr>
        <w:ind w:hanging="0" w:left="0"/>
        <w:rPr>
          <w:rFonts w:ascii="Times New Roman" w:hAnsi="Times New Roman"/>
          <w:color w:val="auto"/>
          <w:sz w:val="24"/>
          <w:szCs w:val="24"/>
        </w:rPr>
      </w:pPr>
      <w:r>
        <w:rPr>
          <w:rFonts w:ascii="Times New Roman" w:hAnsi="Times New Roman"/>
          <w:b/>
          <w:bCs/>
          <w:color w:val="auto"/>
          <w:sz w:val="24"/>
          <w:szCs w:val="24"/>
        </w:rPr>
        <w:t>Sociedade empresária, sociedade limitada unipessoal – SLU ou sociedade identificada como empresa individual de responsabilidade limitada - EIRELI</w:t>
      </w:r>
      <w:r>
        <w:rPr>
          <w:rFonts w:ascii="Times New Roman" w:hAnsi="Times New Roman"/>
          <w:color w:val="auto"/>
          <w:sz w:val="24"/>
          <w:szCs w:val="24"/>
        </w:rPr>
        <w:t>: inscrição do ato constitutivo, estatuto ou contrato social no Registro Público de Empresas Mercantis, a cargo da Junta Comercial da respectiva sede, acompanhada de documento comprobatório de seus administradores;</w:t>
      </w:r>
    </w:p>
    <w:p>
      <w:pPr>
        <w:pStyle w:val="Nivel2"/>
        <w:numPr>
          <w:ilvl w:val="1"/>
          <w:numId w:val="241"/>
        </w:numPr>
        <w:ind w:hanging="0" w:left="0"/>
        <w:rPr>
          <w:color w:val="auto"/>
        </w:rPr>
      </w:pPr>
      <w:r>
        <w:rPr>
          <w:rFonts w:ascii="Times New Roman" w:hAnsi="Times New Roman"/>
          <w:b/>
          <w:bCs/>
          <w:color w:val="auto"/>
          <w:sz w:val="24"/>
          <w:szCs w:val="24"/>
        </w:rPr>
        <w:t>Sociedade empresária estrangeira:</w:t>
      </w:r>
      <w:r>
        <w:rPr>
          <w:rFonts w:ascii="Times New Roman" w:hAnsi="Times New Roman"/>
          <w:color w:val="auto"/>
          <w:sz w:val="24"/>
          <w:szCs w:val="24"/>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10">
        <w:r>
          <w:rPr>
            <w:rStyle w:val="Hyperlink"/>
            <w:rFonts w:ascii="Times New Roman" w:hAnsi="Times New Roman"/>
            <w:color w:val="auto"/>
            <w:sz w:val="24"/>
            <w:szCs w:val="24"/>
          </w:rPr>
          <w:t>Normativa DREI/ME n.º 77, de 18 de março de 2020</w:t>
        </w:r>
      </w:hyperlink>
      <w:r>
        <w:rPr>
          <w:rFonts w:ascii="Times New Roman" w:hAnsi="Times New Roman"/>
          <w:color w:val="auto"/>
          <w:sz w:val="24"/>
          <w:szCs w:val="24"/>
        </w:rPr>
        <w:t>.</w:t>
      </w:r>
    </w:p>
    <w:p>
      <w:pPr>
        <w:pStyle w:val="Nivel2"/>
        <w:numPr>
          <w:ilvl w:val="1"/>
          <w:numId w:val="242"/>
        </w:numPr>
        <w:ind w:hanging="0" w:left="0"/>
        <w:rPr>
          <w:rFonts w:ascii="Times New Roman" w:hAnsi="Times New Roman"/>
          <w:color w:val="auto"/>
          <w:sz w:val="24"/>
          <w:szCs w:val="24"/>
        </w:rPr>
      </w:pPr>
      <w:r>
        <w:rPr>
          <w:rFonts w:ascii="Times New Roman" w:hAnsi="Times New Roman"/>
          <w:b/>
          <w:bCs/>
          <w:color w:val="auto"/>
          <w:sz w:val="24"/>
          <w:szCs w:val="24"/>
        </w:rPr>
        <w:t xml:space="preserve">Sociedade simples: </w:t>
      </w:r>
      <w:r>
        <w:rPr>
          <w:rFonts w:ascii="Times New Roman" w:hAnsi="Times New Roman"/>
          <w:color w:val="auto"/>
          <w:sz w:val="24"/>
          <w:szCs w:val="24"/>
        </w:rPr>
        <w:t>inscrição do ato constitutivo no Registro Civil de Pessoas Jurídicas do local de sua sede, acompanhada de documento comprobatório de seus administradores;</w:t>
      </w:r>
    </w:p>
    <w:p>
      <w:pPr>
        <w:pStyle w:val="Nivel2"/>
        <w:numPr>
          <w:ilvl w:val="1"/>
          <w:numId w:val="243"/>
        </w:numPr>
        <w:ind w:hanging="0" w:left="0"/>
        <w:rPr>
          <w:rFonts w:ascii="Times New Roman" w:hAnsi="Times New Roman"/>
          <w:color w:val="auto"/>
          <w:sz w:val="24"/>
          <w:szCs w:val="24"/>
        </w:rPr>
      </w:pPr>
      <w:r>
        <w:rPr>
          <w:rFonts w:ascii="Times New Roman" w:hAnsi="Times New Roman"/>
          <w:b/>
          <w:bCs/>
          <w:color w:val="auto"/>
          <w:sz w:val="24"/>
          <w:szCs w:val="24"/>
        </w:rPr>
        <w:t>Filial, sucursal ou agência de sociedade simples ou empresária:</w:t>
      </w:r>
      <w:r>
        <w:rPr>
          <w:rFonts w:ascii="Times New Roman" w:hAnsi="Times New Roman"/>
          <w:color w:val="auto"/>
          <w:sz w:val="24"/>
          <w:szCs w:val="24"/>
        </w:rPr>
        <w:t xml:space="preserve"> inscrição do ato constitutivo da filial, sucursal ou agência da sociedade simples ou empresária, respectivamente, no Registro Civil das Pessoas Jurídicas ou no Registro Público de Empresas </w:t>
      </w:r>
      <w:bookmarkStart w:id="4" w:name="_Int_ySfCXwr4"/>
      <w:r>
        <w:rPr>
          <w:rFonts w:ascii="Times New Roman" w:hAnsi="Times New Roman"/>
          <w:color w:val="auto"/>
          <w:sz w:val="24"/>
          <w:szCs w:val="24"/>
        </w:rPr>
        <w:t>Mercantis onde</w:t>
      </w:r>
      <w:bookmarkEnd w:id="4"/>
      <w:r>
        <w:rPr>
          <w:rFonts w:ascii="Times New Roman" w:hAnsi="Times New Roman"/>
          <w:color w:val="auto"/>
          <w:sz w:val="24"/>
          <w:szCs w:val="24"/>
        </w:rPr>
        <w:t xml:space="preserve"> opera, com averbação no Registro onde tem sede a matriz</w:t>
      </w:r>
    </w:p>
    <w:p>
      <w:pPr>
        <w:pStyle w:val="Nivel2"/>
        <w:numPr>
          <w:ilvl w:val="1"/>
          <w:numId w:val="244"/>
        </w:numPr>
        <w:ind w:hanging="0" w:left="0"/>
        <w:rPr>
          <w:color w:val="auto"/>
        </w:rPr>
      </w:pPr>
      <w:r>
        <w:rPr>
          <w:rFonts w:ascii="Times New Roman" w:hAnsi="Times New Roman"/>
          <w:b/>
          <w:bCs/>
          <w:color w:val="auto"/>
          <w:sz w:val="24"/>
          <w:szCs w:val="24"/>
        </w:rPr>
        <w:t>Sociedade cooperativa:</w:t>
      </w:r>
      <w:r>
        <w:rPr>
          <w:rFonts w:ascii="Times New Roman" w:hAnsi="Times New Roman"/>
          <w:color w:val="auto"/>
          <w:sz w:val="24"/>
          <w:szCs w:val="24"/>
        </w:rPr>
        <w:t xml:space="preserve"> ata de fundação e estatuto social, com a ata da assembleia que o aprovou, devidamente arquivado na Junta Comercial ou inscrito no Registro Civil das Pessoas Jurídicas da respectiva sede, além do registro de que trata o </w:t>
      </w:r>
      <w:r>
        <w:fldChar w:fldCharType="begin"/>
      </w:r>
      <w:r>
        <w:rPr>
          <w:rStyle w:val="Hyperlink"/>
          <w:sz w:val="24"/>
          <w:szCs w:val="24"/>
          <w:rFonts w:ascii="Times New Roman" w:hAnsi="Times New Roman"/>
          <w:color w:val="auto"/>
        </w:rPr>
        <w:instrText xml:space="preserve"> HYPERLINK "https://www.planalto.gov.br/ccivil_03/leis/l5764.htm" \l "art107"</w:instrText>
      </w:r>
      <w:r>
        <w:rPr>
          <w:rStyle w:val="Hyperlink"/>
          <w:sz w:val="24"/>
          <w:szCs w:val="24"/>
          <w:rFonts w:ascii="Times New Roman" w:hAnsi="Times New Roman"/>
          <w:color w:val="auto"/>
        </w:rPr>
        <w:fldChar w:fldCharType="separate"/>
      </w:r>
      <w:r>
        <w:rPr>
          <w:rStyle w:val="Hyperlink"/>
          <w:rFonts w:ascii="Times New Roman" w:hAnsi="Times New Roman"/>
          <w:color w:val="auto"/>
          <w:sz w:val="24"/>
          <w:szCs w:val="24"/>
        </w:rPr>
        <w:t>art. 107 da Lei nº 5.764, de 16 de dezembro 1971</w:t>
      </w:r>
      <w:r>
        <w:rPr>
          <w:rStyle w:val="Hyperlink"/>
          <w:sz w:val="24"/>
          <w:szCs w:val="24"/>
          <w:rFonts w:ascii="Times New Roman" w:hAnsi="Times New Roman"/>
          <w:color w:val="auto"/>
        </w:rPr>
        <w:fldChar w:fldCharType="end"/>
      </w:r>
      <w:r>
        <w:rPr>
          <w:rFonts w:ascii="Times New Roman" w:hAnsi="Times New Roman"/>
          <w:color w:val="auto"/>
          <w:sz w:val="24"/>
          <w:szCs w:val="24"/>
        </w:rPr>
        <w:t>.</w:t>
      </w:r>
    </w:p>
    <w:p>
      <w:pPr>
        <w:pStyle w:val="Nivel2"/>
        <w:numPr>
          <w:ilvl w:val="1"/>
          <w:numId w:val="245"/>
        </w:numPr>
        <w:ind w:hanging="0" w:left="0"/>
        <w:rPr>
          <w:color w:val="auto"/>
        </w:rPr>
      </w:pPr>
      <w:r>
        <w:rPr>
          <w:rFonts w:ascii="Times New Roman" w:hAnsi="Times New Roman"/>
          <w:b/>
          <w:bCs/>
          <w:color w:val="auto"/>
          <w:sz w:val="24"/>
          <w:szCs w:val="24"/>
        </w:rPr>
        <w:t>Agricultor familiar:</w:t>
      </w:r>
      <w:r>
        <w:rPr>
          <w:rFonts w:ascii="Times New Roman" w:hAnsi="Times New Roman"/>
          <w:color w:val="auto"/>
          <w:sz w:val="24"/>
          <w:szCs w:val="24"/>
        </w:rPr>
        <w:t xml:space="preserve"> Declaração de Aptidão ao Pronaf – DAP ou DAP-P válida, ou, ainda, outros documentos definidos pela Secretaria Especial de Agricultura Familiar e do Desenvolvimento Agrário, nos termos do</w:t>
      </w:r>
      <w:r>
        <w:fldChar w:fldCharType="begin"/>
      </w:r>
      <w:r>
        <w:rPr>
          <w:rStyle w:val="Hyperlink"/>
          <w:sz w:val="24"/>
          <w:szCs w:val="24"/>
          <w:rFonts w:ascii="Times New Roman" w:hAnsi="Times New Roman"/>
          <w:color w:val="auto"/>
        </w:rPr>
        <w:instrText xml:space="preserve"> HYPERLINK "https://www.planalto.gov.br/ccivil_03/_ato2019-2022/2021/decreto/d10880.htm" \l "art4§2"</w:instrText>
      </w:r>
      <w:r>
        <w:rPr>
          <w:rStyle w:val="Hyperlink"/>
          <w:sz w:val="24"/>
          <w:szCs w:val="24"/>
          <w:rFonts w:ascii="Times New Roman" w:hAnsi="Times New Roman"/>
          <w:color w:val="auto"/>
        </w:rPr>
        <w:fldChar w:fldCharType="separate"/>
      </w:r>
      <w:r>
        <w:rPr>
          <w:rStyle w:val="Hyperlink"/>
          <w:rFonts w:ascii="Times New Roman" w:hAnsi="Times New Roman"/>
          <w:color w:val="auto"/>
          <w:sz w:val="24"/>
          <w:szCs w:val="24"/>
        </w:rPr>
        <w:t xml:space="preserve"> art. 4º, §2º do Decreto nº 10.880, de 2 de dezembro de 2021</w:t>
      </w:r>
      <w:r>
        <w:rPr>
          <w:rStyle w:val="Hyperlink"/>
          <w:sz w:val="24"/>
          <w:szCs w:val="24"/>
          <w:rFonts w:ascii="Times New Roman" w:hAnsi="Times New Roman"/>
          <w:color w:val="auto"/>
        </w:rPr>
        <w:fldChar w:fldCharType="end"/>
      </w:r>
      <w:r>
        <w:rPr>
          <w:rFonts w:ascii="Times New Roman" w:hAnsi="Times New Roman"/>
          <w:color w:val="auto"/>
          <w:sz w:val="24"/>
          <w:szCs w:val="24"/>
        </w:rPr>
        <w:t>.</w:t>
      </w:r>
    </w:p>
    <w:p>
      <w:pPr>
        <w:pStyle w:val="Nivel2"/>
        <w:numPr>
          <w:ilvl w:val="1"/>
          <w:numId w:val="246"/>
        </w:numPr>
        <w:ind w:hanging="0" w:left="0"/>
        <w:rPr>
          <w:color w:val="auto"/>
        </w:rPr>
      </w:pPr>
      <w:r>
        <w:rPr>
          <w:rFonts w:ascii="Times New Roman" w:hAnsi="Times New Roman"/>
          <w:b/>
          <w:bCs/>
          <w:color w:val="auto"/>
          <w:sz w:val="24"/>
          <w:szCs w:val="24"/>
        </w:rPr>
        <w:t>Produtor Rural:</w:t>
      </w:r>
      <w:r>
        <w:rPr>
          <w:rFonts w:ascii="Times New Roman" w:hAnsi="Times New Roman"/>
          <w:color w:val="auto"/>
          <w:sz w:val="24"/>
          <w:szCs w:val="24"/>
        </w:rPr>
        <w:t xml:space="preserve"> matrícula no Cadastro Específico do INSS – CEI, que comprove a qualificação como produtor rural pessoa física, nos termos da </w:t>
      </w:r>
      <w:hyperlink r:id="rId11">
        <w:r>
          <w:rPr>
            <w:rStyle w:val="Hyperlink"/>
            <w:rFonts w:ascii="Times New Roman" w:hAnsi="Times New Roman"/>
            <w:color w:val="auto"/>
            <w:sz w:val="24"/>
            <w:szCs w:val="24"/>
          </w:rPr>
          <w:t>Instrução Normativa RFB n. 971, de 13 de novembro de 2009</w:t>
        </w:r>
      </w:hyperlink>
      <w:r>
        <w:rPr>
          <w:rFonts w:ascii="Times New Roman" w:hAnsi="Times New Roman"/>
          <w:color w:val="auto"/>
          <w:sz w:val="24"/>
          <w:szCs w:val="24"/>
        </w:rPr>
        <w:t xml:space="preserve"> (arts. 17 a 19 e 165).</w:t>
      </w:r>
    </w:p>
    <w:p>
      <w:pPr>
        <w:pStyle w:val="Nivel2"/>
        <w:numPr>
          <w:ilvl w:val="1"/>
          <w:numId w:val="247"/>
        </w:numPr>
        <w:ind w:hanging="0" w:left="0"/>
        <w:rPr>
          <w:rFonts w:ascii="Times New Roman" w:hAnsi="Times New Roman"/>
          <w:color w:val="auto"/>
          <w:sz w:val="24"/>
          <w:szCs w:val="24"/>
        </w:rPr>
      </w:pPr>
      <w:r>
        <w:rPr>
          <w:rFonts w:ascii="Times New Roman" w:hAnsi="Times New Roman"/>
          <w:color w:val="auto"/>
          <w:sz w:val="24"/>
          <w:szCs w:val="24"/>
        </w:rPr>
        <w:t>Os documentos apresentados deverão estar acompanhados de todas as alterações ou da consolidação respectiva.</w:t>
      </w:r>
    </w:p>
    <w:p>
      <w:pPr>
        <w:pStyle w:val="Nvel1-SemNumPreto"/>
        <w:ind w:hanging="0" w:left="0"/>
        <w:rPr>
          <w:color w:val="auto"/>
        </w:rPr>
      </w:pPr>
      <w:r>
        <w:rPr>
          <w:color w:val="auto"/>
        </w:rPr>
        <w:t>Habilitação fiscal, social e trabalhista</w:t>
      </w:r>
    </w:p>
    <w:p>
      <w:pPr>
        <w:pStyle w:val="Nivel2"/>
        <w:numPr>
          <w:ilvl w:val="1"/>
          <w:numId w:val="248"/>
        </w:numPr>
        <w:ind w:hanging="0" w:left="0"/>
        <w:rPr>
          <w:rFonts w:ascii="Times New Roman" w:hAnsi="Times New Roman"/>
          <w:color w:val="auto"/>
          <w:sz w:val="24"/>
          <w:szCs w:val="24"/>
        </w:rPr>
      </w:pPr>
      <w:r>
        <w:rPr>
          <w:rFonts w:ascii="Times New Roman" w:hAnsi="Times New Roman"/>
          <w:color w:val="auto"/>
          <w:sz w:val="24"/>
          <w:szCs w:val="24"/>
        </w:rPr>
        <w:t>Prova de inscrição no Cadastro Nacional de Pessoas Jurídicas ou no Cadastro de Pessoas Físicas, conforme o caso;</w:t>
      </w:r>
    </w:p>
    <w:p>
      <w:pPr>
        <w:pStyle w:val="Nivel2"/>
        <w:numPr>
          <w:ilvl w:val="1"/>
          <w:numId w:val="249"/>
        </w:numPr>
        <w:ind w:hanging="0" w:left="0"/>
        <w:rPr>
          <w:rFonts w:ascii="Times New Roman" w:hAnsi="Times New Roman"/>
          <w:color w:val="auto"/>
          <w:sz w:val="24"/>
          <w:szCs w:val="24"/>
        </w:rPr>
      </w:pPr>
      <w:r>
        <w:rPr>
          <w:rFonts w:ascii="Times New Roman" w:hAnsi="Times New Roman"/>
          <w:color w:val="auto"/>
          <w:sz w:val="24"/>
          <w:szCs w:val="24"/>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pPr>
        <w:pStyle w:val="Nivel2"/>
        <w:numPr>
          <w:ilvl w:val="1"/>
          <w:numId w:val="250"/>
        </w:numPr>
        <w:ind w:hanging="0" w:left="0"/>
        <w:rPr>
          <w:rFonts w:ascii="Times New Roman" w:hAnsi="Times New Roman"/>
          <w:color w:val="auto"/>
          <w:sz w:val="24"/>
          <w:szCs w:val="24"/>
        </w:rPr>
      </w:pPr>
      <w:r>
        <w:rPr>
          <w:rFonts w:ascii="Times New Roman" w:hAnsi="Times New Roman"/>
          <w:color w:val="auto"/>
          <w:sz w:val="24"/>
          <w:szCs w:val="24"/>
        </w:rPr>
        <w:t>Prova de regularidade com o Fundo de Garantia do Tempo de Serviço (FGTS);</w:t>
      </w:r>
    </w:p>
    <w:p>
      <w:pPr>
        <w:pStyle w:val="Nivel2"/>
        <w:numPr>
          <w:ilvl w:val="1"/>
          <w:numId w:val="251"/>
        </w:numPr>
        <w:ind w:hanging="432" w:left="0"/>
        <w:rPr>
          <w:rFonts w:ascii="Times New Roman" w:hAnsi="Times New Roman"/>
          <w:color w:val="auto"/>
          <w:sz w:val="24"/>
          <w:szCs w:val="24"/>
        </w:rPr>
      </w:pPr>
      <w:r>
        <w:rPr>
          <w:rFonts w:ascii="Times New Roman" w:hAnsi="Times New Roman"/>
          <w:color w:val="auto"/>
          <w:sz w:val="24"/>
          <w:szCs w:val="24"/>
        </w:rPr>
        <w:t>declaração de que não emprega menor de 18 anos em trabalho noturno, perigoso ou insalubre e não emprega menor de 16 anos, salvo menor, a partir de 14 anos, na condição de aprendiz, nos termos do artigo 7°, XXXIII, da Constituição;</w:t>
      </w:r>
    </w:p>
    <w:p>
      <w:pPr>
        <w:pStyle w:val="Nivel2"/>
        <w:numPr>
          <w:ilvl w:val="1"/>
          <w:numId w:val="252"/>
        </w:numPr>
        <w:ind w:hanging="0" w:left="0"/>
        <w:rPr>
          <w:rFonts w:ascii="Times New Roman" w:hAnsi="Times New Roman"/>
          <w:color w:val="auto"/>
          <w:sz w:val="24"/>
          <w:szCs w:val="24"/>
        </w:rPr>
      </w:pPr>
      <w:r>
        <w:rPr>
          <w:rFonts w:ascii="Times New Roman" w:hAnsi="Times New Roman"/>
          <w:color w:val="auto"/>
          <w:sz w:val="24"/>
          <w:szCs w:val="24"/>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pPr>
        <w:pStyle w:val="Nivel2"/>
        <w:numPr>
          <w:ilvl w:val="1"/>
          <w:numId w:val="253"/>
        </w:numPr>
        <w:ind w:hanging="0" w:left="0"/>
        <w:rPr>
          <w:rFonts w:ascii="Times New Roman" w:hAnsi="Times New Roman"/>
          <w:color w:val="auto"/>
          <w:sz w:val="24"/>
          <w:szCs w:val="24"/>
        </w:rPr>
      </w:pPr>
      <w:r>
        <w:rPr>
          <w:rFonts w:ascii="Times New Roman" w:hAnsi="Times New Roman"/>
          <w:color w:val="auto"/>
          <w:sz w:val="24"/>
          <w:szCs w:val="24"/>
        </w:rPr>
        <w:t xml:space="preserve">Prova de inscrição no cadastro de contribuintes [Estadual/Distrital] ou [Municipal/Distrital] relativo ao domicílio ou sede do fornecedor, pertinente ao seu ramo de atividade e compatível com o objeto contratual; </w:t>
      </w:r>
    </w:p>
    <w:p>
      <w:pPr>
        <w:pStyle w:val="Nivel2"/>
        <w:numPr>
          <w:ilvl w:val="1"/>
          <w:numId w:val="254"/>
        </w:numPr>
        <w:ind w:hanging="0" w:left="0"/>
        <w:rPr>
          <w:rFonts w:ascii="Times New Roman" w:hAnsi="Times New Roman"/>
          <w:color w:val="auto"/>
          <w:sz w:val="24"/>
          <w:szCs w:val="24"/>
        </w:rPr>
      </w:pPr>
      <w:r>
        <w:rPr>
          <w:rFonts w:ascii="Times New Roman" w:hAnsi="Times New Roman"/>
          <w:color w:val="auto"/>
          <w:sz w:val="24"/>
          <w:szCs w:val="24"/>
        </w:rPr>
        <w:t>Prova de regularidade com a Fazenda [Estadual/Distrital] ou [Municipal/Distrital] do domicílio ou sede do fornecedor, relativa à atividade em cujo exercício contrata ou concorre;</w:t>
      </w:r>
    </w:p>
    <w:p>
      <w:pPr>
        <w:pStyle w:val="Nivel2"/>
        <w:numPr>
          <w:ilvl w:val="1"/>
          <w:numId w:val="255"/>
        </w:numPr>
        <w:ind w:hanging="0" w:left="0"/>
        <w:rPr>
          <w:rFonts w:ascii="Times New Roman" w:hAnsi="Times New Roman"/>
          <w:color w:val="auto"/>
          <w:sz w:val="24"/>
          <w:szCs w:val="24"/>
        </w:rPr>
      </w:pPr>
      <w:r>
        <w:rPr>
          <w:rFonts w:ascii="Times New Roman" w:hAnsi="Times New Roman"/>
          <w:color w:val="auto"/>
          <w:sz w:val="24"/>
          <w:szCs w:val="24"/>
        </w:rPr>
        <w:t>Caso o fornecedor seja considerado isento dos tributos [Estadual/Distrital] ou [Municipal/Distrital] relacionados ao objeto contratual, deverá comprovar tal condição mediante a apresentação de declaração da Fazenda respectiva do seu domicílio ou sede, ou outra equivalente, na forma da lei.</w:t>
      </w:r>
    </w:p>
    <w:p>
      <w:pPr>
        <w:pStyle w:val="Nivel2"/>
        <w:numPr>
          <w:ilvl w:val="1"/>
          <w:numId w:val="256"/>
        </w:numPr>
        <w:ind w:hanging="0" w:left="0"/>
        <w:rPr>
          <w:rFonts w:ascii="Times New Roman" w:hAnsi="Times New Roman"/>
          <w:color w:val="auto"/>
          <w:sz w:val="24"/>
          <w:szCs w:val="24"/>
        </w:rPr>
      </w:pPr>
      <w:r>
        <w:rPr>
          <w:rFonts w:ascii="Times New Roman" w:hAnsi="Times New Roman"/>
          <w:color w:val="auto"/>
          <w:sz w:val="24"/>
          <w:szCs w:val="24"/>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pPr>
        <w:pStyle w:val="Nvel1-SemNumPreto"/>
        <w:ind w:hanging="0" w:left="0"/>
        <w:rPr>
          <w:color w:val="auto"/>
        </w:rPr>
      </w:pPr>
      <w:r>
        <w:rPr>
          <w:color w:val="auto"/>
        </w:rPr>
        <w:t>Qualificação Econômico-Financeira</w:t>
      </w:r>
    </w:p>
    <w:p>
      <w:pPr>
        <w:pStyle w:val="Nivel2"/>
        <w:numPr>
          <w:ilvl w:val="1"/>
          <w:numId w:val="257"/>
        </w:numPr>
        <w:ind w:hanging="0" w:left="0"/>
        <w:rPr>
          <w:color w:val="auto"/>
        </w:rPr>
      </w:pPr>
      <w:r>
        <w:rPr>
          <w:rFonts w:ascii="Times New Roman" w:hAnsi="Times New Roman"/>
          <w:color w:val="auto"/>
          <w:sz w:val="24"/>
          <w:szCs w:val="24"/>
        </w:rPr>
        <w:t xml:space="preserve">Certidão negativa de insolvência civil expedida pelo distribuidor do domicílio ou sede do interessado, caso se trate de pessoa física, desde que admitida a sua </w:t>
      </w:r>
      <w:r>
        <w:rPr>
          <w:rFonts w:ascii="Times New Roman" w:hAnsi="Times New Roman"/>
          <w:sz w:val="24"/>
          <w:szCs w:val="24"/>
          <w:shd w:fill="00FF00" w:val="clear"/>
        </w:rPr>
        <w:t>contratação</w:t>
      </w:r>
      <w:r>
        <w:rPr>
          <w:rFonts w:ascii="Times New Roman" w:hAnsi="Times New Roman"/>
          <w:color w:val="auto"/>
          <w:sz w:val="24"/>
          <w:szCs w:val="24"/>
        </w:rPr>
        <w:t xml:space="preserve"> (</w:t>
      </w:r>
      <w:r>
        <w:fldChar w:fldCharType="begin"/>
      </w:r>
      <w:r>
        <w:rPr>
          <w:rStyle w:val="Hyperlink"/>
          <w:sz w:val="24"/>
          <w:szCs w:val="24"/>
          <w:rFonts w:ascii="Times New Roman" w:hAnsi="Times New Roman"/>
          <w:color w:val="auto"/>
        </w:rPr>
        <w:instrText xml:space="preserve"> HYPERLINK "https://www.gov.br/compras/pt-br/acesso-a-informacao/legislacao/instrucoes-normativas/instrucao-normativa-seges-me-no-116-de-21-de-dezembro-de-2021" \l "art5"</w:instrText>
      </w:r>
      <w:r>
        <w:rPr>
          <w:rStyle w:val="Hyperlink"/>
          <w:sz w:val="24"/>
          <w:szCs w:val="24"/>
          <w:rFonts w:ascii="Times New Roman" w:hAnsi="Times New Roman"/>
          <w:color w:val="auto"/>
        </w:rPr>
        <w:fldChar w:fldCharType="separate"/>
      </w:r>
      <w:r>
        <w:rPr>
          <w:rStyle w:val="Hyperlink"/>
          <w:rFonts w:ascii="Times New Roman" w:hAnsi="Times New Roman"/>
          <w:color w:val="auto"/>
          <w:sz w:val="24"/>
          <w:szCs w:val="24"/>
        </w:rPr>
        <w:t>art. 5º, inciso II, alínea “c”, da Instrução Normativa Seges/ME nº 116, de 2021</w:t>
      </w:r>
      <w:r>
        <w:rPr>
          <w:rStyle w:val="Hyperlink"/>
          <w:sz w:val="24"/>
          <w:szCs w:val="24"/>
          <w:rFonts w:ascii="Times New Roman" w:hAnsi="Times New Roman"/>
          <w:color w:val="auto"/>
        </w:rPr>
        <w:fldChar w:fldCharType="end"/>
      </w:r>
      <w:r>
        <w:rPr>
          <w:rFonts w:ascii="Times New Roman" w:hAnsi="Times New Roman"/>
          <w:color w:val="auto"/>
          <w:sz w:val="24"/>
          <w:szCs w:val="24"/>
        </w:rPr>
        <w:t xml:space="preserve">), ou de sociedade simples; </w:t>
      </w:r>
    </w:p>
    <w:p>
      <w:pPr>
        <w:pStyle w:val="Nivel2"/>
        <w:numPr>
          <w:ilvl w:val="1"/>
          <w:numId w:val="258"/>
        </w:numPr>
        <w:ind w:hanging="0" w:left="0"/>
        <w:rPr>
          <w:color w:val="auto"/>
        </w:rPr>
      </w:pPr>
      <w:r>
        <w:rPr>
          <w:rFonts w:ascii="Times New Roman" w:hAnsi="Times New Roman"/>
          <w:color w:val="auto"/>
          <w:sz w:val="24"/>
          <w:szCs w:val="24"/>
        </w:rPr>
        <w:t xml:space="preserve">Certidão negativa de falência expedida pelo distribuidor da sede do fornecedor - </w:t>
      </w:r>
      <w:r>
        <w:fldChar w:fldCharType="begin"/>
      </w:r>
      <w:r>
        <w:rPr>
          <w:rStyle w:val="Hyperlink"/>
          <w:sz w:val="24"/>
          <w:szCs w:val="24"/>
          <w:rFonts w:ascii="Times New Roman" w:hAnsi="Times New Roman"/>
          <w:color w:val="auto"/>
        </w:rPr>
        <w:instrText xml:space="preserve"> HYPERLINK "http://www.planalto.gov.br/ccivil_03/_ato2019-2022/2021/lei/L14133.htm" \l "art69"</w:instrText>
      </w:r>
      <w:r>
        <w:rPr>
          <w:rStyle w:val="Hyperlink"/>
          <w:sz w:val="24"/>
          <w:szCs w:val="24"/>
          <w:rFonts w:ascii="Times New Roman" w:hAnsi="Times New Roman"/>
          <w:color w:val="auto"/>
        </w:rPr>
        <w:fldChar w:fldCharType="separate"/>
      </w:r>
      <w:r>
        <w:rPr>
          <w:rStyle w:val="Hyperlink"/>
          <w:rFonts w:ascii="Times New Roman" w:hAnsi="Times New Roman"/>
          <w:color w:val="auto"/>
          <w:sz w:val="24"/>
          <w:szCs w:val="24"/>
        </w:rPr>
        <w:t>Lei nº 14.133, de 2021, art. 69, caput, inciso II</w:t>
      </w:r>
      <w:r>
        <w:rPr>
          <w:rStyle w:val="Hyperlink"/>
          <w:sz w:val="24"/>
          <w:szCs w:val="24"/>
          <w:rFonts w:ascii="Times New Roman" w:hAnsi="Times New Roman"/>
          <w:color w:val="auto"/>
        </w:rPr>
        <w:fldChar w:fldCharType="end"/>
      </w:r>
      <w:r>
        <w:rPr>
          <w:rFonts w:ascii="Times New Roman" w:hAnsi="Times New Roman"/>
          <w:color w:val="auto"/>
          <w:sz w:val="24"/>
          <w:szCs w:val="24"/>
        </w:rPr>
        <w:t>);</w:t>
      </w:r>
    </w:p>
    <w:p>
      <w:pPr>
        <w:pStyle w:val="Nivel2"/>
        <w:numPr>
          <w:ilvl w:val="1"/>
          <w:numId w:val="259"/>
        </w:numPr>
        <w:ind w:hanging="0" w:left="0"/>
        <w:rPr>
          <w:color w:val="auto"/>
        </w:rPr>
      </w:pPr>
      <w:r>
        <w:rPr>
          <w:rFonts w:ascii="Times New Roman" w:hAnsi="Times New Roman"/>
          <w:color w:val="auto"/>
          <w:sz w:val="24"/>
          <w:szCs w:val="24"/>
        </w:rPr>
        <w:t>Balanço patrimonial, demonstração de resultado de exercício e demais demonstrações contábeis dos 2 (dois) últimos exercícios sociais, comprovando;</w:t>
      </w:r>
    </w:p>
    <w:p>
      <w:pPr>
        <w:pStyle w:val="Nivel3"/>
        <w:numPr>
          <w:ilvl w:val="2"/>
          <w:numId w:val="260"/>
        </w:numPr>
        <w:ind w:hanging="0" w:left="284"/>
        <w:rPr>
          <w:color w:val="auto"/>
        </w:rPr>
      </w:pPr>
      <w:r>
        <w:rPr>
          <w:rFonts w:ascii="Times New Roman" w:hAnsi="Times New Roman"/>
          <w:color w:val="auto"/>
          <w:sz w:val="24"/>
          <w:szCs w:val="24"/>
        </w:rPr>
        <w:t>índices de Liquidez Geral (LG), Liquidez Corrente (LC), e Solvência Geral (SG) superiores a 1 (um);</w:t>
      </w:r>
    </w:p>
    <w:p>
      <w:pPr>
        <w:pStyle w:val="Nivel3"/>
        <w:numPr>
          <w:ilvl w:val="2"/>
          <w:numId w:val="261"/>
        </w:numPr>
        <w:ind w:hanging="0" w:left="284"/>
        <w:rPr>
          <w:color w:val="auto"/>
        </w:rPr>
      </w:pPr>
      <w:r>
        <w:rPr>
          <w:rFonts w:ascii="Times New Roman" w:hAnsi="Times New Roman"/>
          <w:color w:val="auto"/>
          <w:sz w:val="24"/>
          <w:szCs w:val="24"/>
        </w:rPr>
        <w:t xml:space="preserve">As empresas criadas no exercício financeiro da </w:t>
      </w:r>
      <w:r>
        <w:rPr>
          <w:rFonts w:ascii="Times New Roman" w:hAnsi="Times New Roman"/>
          <w:sz w:val="24"/>
          <w:szCs w:val="24"/>
          <w:shd w:fill="FFFFFF" w:val="clear"/>
        </w:rPr>
        <w:t>contratação direta</w:t>
      </w:r>
      <w:r>
        <w:rPr>
          <w:rFonts w:ascii="Times New Roman" w:hAnsi="Times New Roman"/>
          <w:color w:val="auto"/>
          <w:sz w:val="24"/>
          <w:szCs w:val="24"/>
        </w:rPr>
        <w:t xml:space="preserve"> deverão atender a todas as exigências da habilitação e poderão substituir os demonstrativos contábeis pelo balanço de abertura.</w:t>
      </w:r>
    </w:p>
    <w:p>
      <w:pPr>
        <w:pStyle w:val="Nivel3"/>
        <w:numPr>
          <w:ilvl w:val="2"/>
          <w:numId w:val="262"/>
        </w:numPr>
        <w:ind w:hanging="0" w:left="284"/>
        <w:rPr>
          <w:color w:val="auto"/>
        </w:rPr>
      </w:pPr>
      <w:r>
        <w:rPr>
          <w:rFonts w:ascii="Times New Roman" w:hAnsi="Times New Roman"/>
          <w:color w:val="auto"/>
          <w:sz w:val="24"/>
          <w:szCs w:val="24"/>
        </w:rPr>
        <w:t>Os documentos referidos acima limitar-se-ão ao último exercício no caso de a pessoa jurídica ter sido constituída há menos de 2 (dois) anos;</w:t>
      </w:r>
    </w:p>
    <w:p>
      <w:pPr>
        <w:pStyle w:val="Nivel3"/>
        <w:numPr>
          <w:ilvl w:val="2"/>
          <w:numId w:val="263"/>
        </w:numPr>
        <w:ind w:hanging="0" w:left="284"/>
        <w:rPr>
          <w:color w:val="auto"/>
        </w:rPr>
      </w:pPr>
      <w:r>
        <w:rPr>
          <w:rFonts w:ascii="Times New Roman" w:hAnsi="Times New Roman"/>
          <w:color w:val="auto"/>
          <w:sz w:val="24"/>
          <w:szCs w:val="24"/>
        </w:rPr>
        <w:t>Os documentos referidos acima deverão ser exigidos com base no limite definido pela Receita Federal do Brasil para transmissão da Escrituração Contábil Digital - ECD ao Sped.</w:t>
      </w:r>
    </w:p>
    <w:p>
      <w:pPr>
        <w:pStyle w:val="Nivel2"/>
        <w:numPr>
          <w:ilvl w:val="1"/>
          <w:numId w:val="264"/>
        </w:numPr>
        <w:ind w:hanging="0" w:left="0"/>
        <w:rPr>
          <w:color w:val="auto"/>
        </w:rPr>
      </w:pPr>
      <w:r>
        <w:rPr>
          <w:rFonts w:ascii="Times New Roman" w:hAnsi="Times New Roman"/>
          <w:color w:val="auto"/>
          <w:sz w:val="24"/>
          <w:szCs w:val="24"/>
        </w:rPr>
        <w:t>Caso a empresa interessada apresente resultado inferior ou igual a 1 (um) em qualquer dos índices de Liquidez Geral (LG), Solvência Geral (SG) e Liquidez Corrente (LC), será exigido para fins de habilitação o patrimônio líquido mínimo de 1 % do [valor total estimado da contratação.</w:t>
      </w:r>
    </w:p>
    <w:p>
      <w:pPr>
        <w:pStyle w:val="Nivel2"/>
        <w:numPr>
          <w:ilvl w:val="1"/>
          <w:numId w:val="265"/>
        </w:numPr>
        <w:ind w:hanging="0" w:left="0"/>
        <w:rPr>
          <w:color w:val="auto"/>
        </w:rPr>
      </w:pPr>
      <w:r>
        <w:rPr>
          <w:rFonts w:ascii="Times New Roman" w:hAnsi="Times New Roman"/>
          <w:color w:val="auto"/>
          <w:sz w:val="24"/>
          <w:szCs w:val="24"/>
        </w:rPr>
        <w:t xml:space="preserve">As empresas criadas no exercício financeiro da </w:t>
      </w:r>
      <w:r>
        <w:rPr>
          <w:rFonts w:ascii="Times New Roman" w:hAnsi="Times New Roman"/>
          <w:sz w:val="24"/>
          <w:szCs w:val="24"/>
          <w:shd w:fill="FFFFFF" w:val="clear"/>
        </w:rPr>
        <w:t>contratação direta</w:t>
      </w:r>
      <w:r>
        <w:rPr>
          <w:rFonts w:ascii="Times New Roman" w:hAnsi="Times New Roman"/>
          <w:color w:val="auto"/>
          <w:sz w:val="24"/>
          <w:szCs w:val="24"/>
        </w:rPr>
        <w:t xml:space="preserve"> deverão atender a todas as exigências da habilitação e poderão substituir os demonstrativos contábeis</w:t>
      </w:r>
      <w:r>
        <w:rPr>
          <w:rFonts w:ascii="Times New Roman" w:hAnsi="Times New Roman"/>
          <w:b/>
          <w:bCs/>
          <w:color w:val="auto"/>
          <w:sz w:val="24"/>
          <w:szCs w:val="24"/>
        </w:rPr>
        <w:t xml:space="preserve"> pelo balanço de abertura</w:t>
      </w:r>
      <w:r>
        <w:rPr>
          <w:rFonts w:ascii="Times New Roman" w:hAnsi="Times New Roman"/>
          <w:color w:val="auto"/>
          <w:sz w:val="24"/>
          <w:szCs w:val="24"/>
        </w:rPr>
        <w:t>. (Lei nº 14.133, de 2021, art. 65, §1º).</w:t>
      </w:r>
    </w:p>
    <w:p>
      <w:pPr>
        <w:pStyle w:val="Nvel2-Red"/>
        <w:numPr>
          <w:ilvl w:val="1"/>
          <w:numId w:val="266"/>
        </w:numPr>
        <w:ind w:hanging="0" w:left="0"/>
        <w:rPr>
          <w:b/>
          <w:bCs/>
          <w:i w:val="false"/>
          <w:i w:val="false"/>
          <w:iCs w:val="false"/>
          <w:color w:val="auto"/>
        </w:rPr>
      </w:pPr>
      <w:r>
        <w:rPr>
          <w:rFonts w:ascii="Times New Roman" w:hAnsi="Times New Roman"/>
          <w:b/>
          <w:bCs/>
          <w:i w:val="false"/>
          <w:iCs w:val="false"/>
          <w:color w:val="auto"/>
          <w:sz w:val="24"/>
          <w:szCs w:val="24"/>
        </w:rPr>
        <w:t>O atendimento dos índices econômicos previstos neste item deverá ser atestado mediante declaração assinada por profissional habilitado da área contábil, apresentada pelo fornecedor.</w:t>
      </w:r>
    </w:p>
    <w:p>
      <w:pPr>
        <w:pStyle w:val="Nvel1-SemNumPreto"/>
        <w:ind w:hanging="0" w:left="0"/>
        <w:rPr>
          <w:color w:val="auto"/>
        </w:rPr>
      </w:pPr>
      <w:r>
        <w:rPr>
          <w:color w:val="auto"/>
        </w:rPr>
        <w:t>Qualificação Técnica</w:t>
      </w:r>
    </w:p>
    <w:p>
      <w:pPr>
        <w:pStyle w:val="Nvel2-Red"/>
        <w:numPr>
          <w:ilvl w:val="1"/>
          <w:numId w:val="267"/>
        </w:numPr>
        <w:ind w:hanging="0" w:left="0"/>
        <w:rPr>
          <w:color w:val="auto"/>
          <w:shd w:fill="FFFFFF" w:val="clear"/>
        </w:rPr>
      </w:pPr>
      <w:r>
        <w:rPr>
          <w:rFonts w:ascii="Times New Roman" w:hAnsi="Times New Roman"/>
          <w:i w:val="false"/>
          <w:iCs w:val="false"/>
          <w:color w:val="000000"/>
          <w:sz w:val="24"/>
          <w:szCs w:val="24"/>
          <w:shd w:fill="FFFFFF" w:val="clear"/>
        </w:rPr>
        <w:t xml:space="preserve">Declaração de que o interessado tomou conhecimento de todas as informações e das condições locais para o cumprimento das obrigações objeto da contratação; </w:t>
      </w:r>
    </w:p>
    <w:p>
      <w:pPr>
        <w:pStyle w:val="Nvel2-Red"/>
        <w:numPr>
          <w:ilvl w:val="1"/>
          <w:numId w:val="268"/>
        </w:numPr>
        <w:ind w:hanging="0" w:left="0"/>
        <w:rPr>
          <w:color w:val="auto"/>
          <w:shd w:fill="FFFFFF" w:val="clear"/>
        </w:rPr>
      </w:pPr>
      <w:r>
        <w:rPr>
          <w:rFonts w:ascii="Times New Roman" w:hAnsi="Times New Roman"/>
          <w:i w:val="false"/>
          <w:iCs w:val="false"/>
          <w:color w:val="000000"/>
          <w:sz w:val="24"/>
          <w:szCs w:val="24"/>
          <w:shd w:fill="FFFFFF" w:val="clear"/>
        </w:rPr>
        <w:t>A declaração acima poderá ser substituída por declaração formal assinada pelo responsável técnico do interessado acerca do conhecimento pleno das condições e peculiaridades da contratação.</w:t>
      </w:r>
    </w:p>
    <w:p>
      <w:pPr>
        <w:pStyle w:val="Nvel3-R"/>
        <w:numPr>
          <w:ilvl w:val="2"/>
          <w:numId w:val="269"/>
        </w:numPr>
        <w:ind w:hanging="0" w:left="284"/>
        <w:rPr>
          <w:color w:val="auto"/>
        </w:rPr>
      </w:pPr>
      <w:r>
        <w:rPr>
          <w:rFonts w:ascii="Times New Roman" w:hAnsi="Times New Roman"/>
          <w:color w:val="auto"/>
          <w:sz w:val="24"/>
          <w:szCs w:val="24"/>
        </w:rPr>
        <w:t>Será admitida, para fins de comprovação de quantitativo mínimo, a apresentação e o somatório de diferentes atestados executados de forma concomitante.</w:t>
      </w:r>
    </w:p>
    <w:p>
      <w:pPr>
        <w:pStyle w:val="Nvel3-R"/>
        <w:numPr>
          <w:ilvl w:val="2"/>
          <w:numId w:val="270"/>
        </w:numPr>
        <w:ind w:hanging="0" w:left="284"/>
        <w:rPr>
          <w:color w:val="auto"/>
        </w:rPr>
      </w:pPr>
      <w:r>
        <w:rPr>
          <w:rFonts w:ascii="Times New Roman" w:hAnsi="Times New Roman"/>
          <w:color w:val="auto"/>
          <w:sz w:val="24"/>
          <w:szCs w:val="24"/>
        </w:rPr>
        <w:t>Os atestados de capacidade técnica poderão ser apresentados em nome da matriz ou da filial do fornecedor.</w:t>
      </w:r>
    </w:p>
    <w:p>
      <w:pPr>
        <w:pStyle w:val="Nvel3-R"/>
        <w:numPr>
          <w:ilvl w:val="2"/>
          <w:numId w:val="271"/>
        </w:numPr>
        <w:ind w:hanging="0" w:left="284"/>
        <w:rPr>
          <w:rFonts w:ascii="Times New Roman" w:hAnsi="Times New Roman"/>
          <w:color w:val="auto"/>
          <w:sz w:val="24"/>
          <w:szCs w:val="24"/>
        </w:rPr>
      </w:pPr>
      <w:r>
        <w:rPr>
          <w:rFonts w:ascii="Times New Roman" w:hAnsi="Times New Roman"/>
          <w:color w:val="auto"/>
          <w:sz w:val="24"/>
          <w:szCs w:val="24"/>
        </w:rPr>
        <w:t>O fornecedor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w:t>
      </w:r>
    </w:p>
    <w:p>
      <w:pPr>
        <w:pStyle w:val="Nvel3-R"/>
        <w:numPr>
          <w:ilvl w:val="0"/>
          <w:numId w:val="0"/>
        </w:numPr>
        <w:ind w:hanging="0" w:left="284"/>
        <w:rPr>
          <w:rFonts w:ascii="Times New Roman" w:hAnsi="Times New Roman"/>
          <w:color w:val="auto"/>
          <w:sz w:val="24"/>
          <w:szCs w:val="24"/>
        </w:rPr>
      </w:pPr>
      <w:r>
        <w:rPr>
          <w:rFonts w:ascii="Times New Roman" w:hAnsi="Times New Roman"/>
          <w:color w:val="auto"/>
          <w:sz w:val="24"/>
          <w:szCs w:val="24"/>
        </w:rPr>
      </w:r>
    </w:p>
    <w:p>
      <w:pPr>
        <w:pStyle w:val="Nivel2"/>
        <w:numPr>
          <w:ilvl w:val="1"/>
          <w:numId w:val="272"/>
        </w:numPr>
        <w:ind w:hanging="0" w:left="0"/>
        <w:rPr>
          <w:color w:val="auto"/>
        </w:rPr>
      </w:pPr>
      <w:r>
        <w:rPr>
          <w:rFonts w:ascii="Times New Roman" w:hAnsi="Times New Roman"/>
          <w:color w:val="auto"/>
          <w:sz w:val="24"/>
          <w:szCs w:val="24"/>
        </w:rPr>
        <w:t>Caso  de cooperativas, será exigida a seguinte documentação complementar:</w:t>
      </w:r>
    </w:p>
    <w:p>
      <w:pPr>
        <w:pStyle w:val="Nivel3"/>
        <w:numPr>
          <w:ilvl w:val="2"/>
          <w:numId w:val="273"/>
        </w:numPr>
        <w:ind w:hanging="0" w:left="284"/>
        <w:rPr>
          <w:color w:val="auto"/>
        </w:rPr>
      </w:pPr>
      <w:r>
        <w:rPr>
          <w:rFonts w:ascii="Times New Roman" w:hAnsi="Times New Roman"/>
          <w:color w:val="auto"/>
          <w:sz w:val="24"/>
          <w:szCs w:val="24"/>
        </w:rPr>
        <w:t xml:space="preserve">A relação dos cooperados que atendem aos requisitos técnicos exigidos para a contratação e que executarão o contrato, com as respectivas atas de inscrição e a comprovação de que estão domiciliados na localidade da sede da cooperativa, respeitado o disposto nos </w:t>
      </w:r>
      <w:r>
        <w:fldChar w:fldCharType="begin"/>
      </w:r>
      <w:r>
        <w:rPr>
          <w:rStyle w:val="Hyperlink"/>
          <w:sz w:val="24"/>
          <w:szCs w:val="24"/>
          <w:rFonts w:ascii="Times New Roman" w:hAnsi="Times New Roman"/>
          <w:color w:val="auto"/>
        </w:rPr>
        <w:instrText xml:space="preserve"> HYPERLINK "https://www.planalto.gov.br/ccivil_03/leis/l5764.htm" \l "art4"</w:instrText>
      </w:r>
      <w:r>
        <w:rPr>
          <w:rStyle w:val="Hyperlink"/>
          <w:sz w:val="24"/>
          <w:szCs w:val="24"/>
          <w:rFonts w:ascii="Times New Roman" w:hAnsi="Times New Roman"/>
          <w:color w:val="auto"/>
        </w:rPr>
        <w:fldChar w:fldCharType="separate"/>
      </w:r>
      <w:r>
        <w:rPr>
          <w:rStyle w:val="Hyperlink"/>
          <w:rFonts w:ascii="Times New Roman" w:hAnsi="Times New Roman"/>
          <w:color w:val="auto"/>
          <w:sz w:val="24"/>
          <w:szCs w:val="24"/>
        </w:rPr>
        <w:t>arts. 4º, inciso XI, 21, inciso I</w:t>
      </w:r>
      <w:r>
        <w:rPr>
          <w:rStyle w:val="Hyperlink"/>
          <w:sz w:val="24"/>
          <w:szCs w:val="24"/>
          <w:rFonts w:ascii="Times New Roman" w:hAnsi="Times New Roman"/>
          <w:color w:val="auto"/>
        </w:rPr>
        <w:fldChar w:fldCharType="end"/>
      </w:r>
      <w:r>
        <w:rPr>
          <w:rFonts w:ascii="Times New Roman" w:hAnsi="Times New Roman"/>
          <w:color w:val="auto"/>
          <w:sz w:val="24"/>
          <w:szCs w:val="24"/>
        </w:rPr>
        <w:t xml:space="preserve"> e </w:t>
      </w:r>
      <w:r>
        <w:fldChar w:fldCharType="begin"/>
      </w:r>
      <w:r>
        <w:rPr>
          <w:rStyle w:val="Hyperlink"/>
          <w:sz w:val="24"/>
          <w:szCs w:val="24"/>
          <w:rFonts w:ascii="Times New Roman" w:hAnsi="Times New Roman"/>
          <w:color w:val="auto"/>
        </w:rPr>
        <w:instrText xml:space="preserve"> HYPERLINK "https://www.planalto.gov.br/ccivil_03/leis/l5764.htm" \l "art42"</w:instrText>
      </w:r>
      <w:r>
        <w:rPr>
          <w:rStyle w:val="Hyperlink"/>
          <w:sz w:val="24"/>
          <w:szCs w:val="24"/>
          <w:rFonts w:ascii="Times New Roman" w:hAnsi="Times New Roman"/>
          <w:color w:val="auto"/>
        </w:rPr>
        <w:fldChar w:fldCharType="separate"/>
      </w:r>
      <w:r>
        <w:rPr>
          <w:rStyle w:val="Hyperlink"/>
          <w:rFonts w:ascii="Times New Roman" w:hAnsi="Times New Roman"/>
          <w:color w:val="auto"/>
          <w:sz w:val="24"/>
          <w:szCs w:val="24"/>
        </w:rPr>
        <w:t>42, §§2º a 6º da Lei n. 5.764, de 1971</w:t>
      </w:r>
      <w:r>
        <w:rPr>
          <w:rStyle w:val="Hyperlink"/>
          <w:sz w:val="24"/>
          <w:szCs w:val="24"/>
          <w:rFonts w:ascii="Times New Roman" w:hAnsi="Times New Roman"/>
          <w:color w:val="auto"/>
        </w:rPr>
        <w:fldChar w:fldCharType="end"/>
      </w:r>
      <w:r>
        <w:rPr>
          <w:rFonts w:ascii="Times New Roman" w:hAnsi="Times New Roman"/>
          <w:color w:val="auto"/>
          <w:sz w:val="24"/>
          <w:szCs w:val="24"/>
        </w:rPr>
        <w:t>;</w:t>
      </w:r>
    </w:p>
    <w:p>
      <w:pPr>
        <w:pStyle w:val="Nivel3"/>
        <w:numPr>
          <w:ilvl w:val="2"/>
          <w:numId w:val="274"/>
        </w:numPr>
        <w:ind w:hanging="0" w:left="284"/>
        <w:rPr>
          <w:color w:val="auto"/>
        </w:rPr>
      </w:pPr>
      <w:r>
        <w:rPr>
          <w:rFonts w:ascii="Times New Roman" w:hAnsi="Times New Roman"/>
          <w:color w:val="auto"/>
          <w:sz w:val="24"/>
          <w:szCs w:val="24"/>
        </w:rPr>
        <w:t>A declaração de regularidade de situação do contribuinte individual – DRSCI, para cada um dos cooperados indicados;</w:t>
      </w:r>
    </w:p>
    <w:p>
      <w:pPr>
        <w:pStyle w:val="Nivel3"/>
        <w:numPr>
          <w:ilvl w:val="2"/>
          <w:numId w:val="275"/>
        </w:numPr>
        <w:ind w:hanging="0" w:left="284"/>
        <w:rPr>
          <w:color w:val="auto"/>
        </w:rPr>
      </w:pPr>
      <w:r>
        <w:rPr>
          <w:rFonts w:ascii="Times New Roman" w:hAnsi="Times New Roman"/>
          <w:color w:val="auto"/>
          <w:sz w:val="24"/>
          <w:szCs w:val="24"/>
        </w:rPr>
        <w:t xml:space="preserve">A comprovação do capital social proporcional ao número de cooperados necessários à execução contratual; </w:t>
      </w:r>
    </w:p>
    <w:p>
      <w:pPr>
        <w:pStyle w:val="Nivel3"/>
        <w:numPr>
          <w:ilvl w:val="2"/>
          <w:numId w:val="276"/>
        </w:numPr>
        <w:ind w:hanging="0" w:left="284"/>
        <w:rPr>
          <w:color w:val="auto"/>
        </w:rPr>
      </w:pPr>
      <w:r>
        <w:rPr>
          <w:rFonts w:ascii="Times New Roman" w:hAnsi="Times New Roman"/>
          <w:color w:val="auto"/>
          <w:sz w:val="24"/>
          <w:szCs w:val="24"/>
        </w:rPr>
        <w:t xml:space="preserve">O registro previsto na </w:t>
      </w:r>
      <w:r>
        <w:fldChar w:fldCharType="begin"/>
      </w:r>
      <w:r>
        <w:rPr>
          <w:rStyle w:val="Hyperlink"/>
          <w:sz w:val="24"/>
          <w:szCs w:val="24"/>
          <w:rFonts w:ascii="Times New Roman" w:hAnsi="Times New Roman"/>
          <w:color w:val="auto"/>
        </w:rPr>
        <w:instrText xml:space="preserve"> HYPERLINK "https://www.planalto.gov.br/ccivil_03/leis/l5764.htm" \l "art107"</w:instrText>
      </w:r>
      <w:r>
        <w:rPr>
          <w:rStyle w:val="Hyperlink"/>
          <w:sz w:val="24"/>
          <w:szCs w:val="24"/>
          <w:rFonts w:ascii="Times New Roman" w:hAnsi="Times New Roman"/>
          <w:color w:val="auto"/>
        </w:rPr>
        <w:fldChar w:fldCharType="separate"/>
      </w:r>
      <w:r>
        <w:rPr>
          <w:rStyle w:val="Hyperlink"/>
          <w:rFonts w:ascii="Times New Roman" w:hAnsi="Times New Roman"/>
          <w:color w:val="auto"/>
          <w:sz w:val="24"/>
          <w:szCs w:val="24"/>
        </w:rPr>
        <w:t>Lei n. 5.764, de 1971, art. 107</w:t>
      </w:r>
      <w:r>
        <w:rPr>
          <w:rStyle w:val="Hyperlink"/>
          <w:sz w:val="24"/>
          <w:szCs w:val="24"/>
          <w:rFonts w:ascii="Times New Roman" w:hAnsi="Times New Roman"/>
          <w:color w:val="auto"/>
        </w:rPr>
        <w:fldChar w:fldCharType="end"/>
      </w:r>
      <w:r>
        <w:rPr>
          <w:rFonts w:ascii="Times New Roman" w:hAnsi="Times New Roman"/>
          <w:color w:val="auto"/>
          <w:sz w:val="24"/>
          <w:szCs w:val="24"/>
        </w:rPr>
        <w:t>;</w:t>
      </w:r>
    </w:p>
    <w:p>
      <w:pPr>
        <w:pStyle w:val="Nivel3"/>
        <w:numPr>
          <w:ilvl w:val="2"/>
          <w:numId w:val="277"/>
        </w:numPr>
        <w:ind w:hanging="0" w:left="284"/>
        <w:rPr>
          <w:color w:val="auto"/>
        </w:rPr>
      </w:pPr>
      <w:r>
        <w:rPr>
          <w:rFonts w:ascii="Times New Roman" w:hAnsi="Times New Roman"/>
          <w:color w:val="auto"/>
          <w:sz w:val="24"/>
          <w:szCs w:val="24"/>
        </w:rPr>
        <w:t xml:space="preserve"> </w:t>
      </w:r>
      <w:r>
        <w:rPr>
          <w:rFonts w:ascii="Times New Roman" w:hAnsi="Times New Roman"/>
          <w:color w:val="auto"/>
          <w:sz w:val="24"/>
          <w:szCs w:val="24"/>
        </w:rPr>
        <w:t>A comprovação de integração das respectivas quotas-partes por parte dos cooperados que executarão o contrato; e</w:t>
      </w:r>
    </w:p>
    <w:p>
      <w:pPr>
        <w:pStyle w:val="Nivel3"/>
        <w:numPr>
          <w:ilvl w:val="2"/>
          <w:numId w:val="278"/>
        </w:numPr>
        <w:ind w:hanging="0" w:left="284"/>
        <w:rPr>
          <w:color w:val="auto"/>
        </w:rPr>
      </w:pPr>
      <w:r>
        <w:rPr>
          <w:rFonts w:ascii="Times New Roman" w:hAnsi="Times New Roman"/>
          <w:color w:val="auto"/>
          <w:sz w:val="24"/>
          <w:szCs w:val="24"/>
        </w:rPr>
        <w:t xml:space="preserve"> </w:t>
      </w:r>
      <w:r>
        <w:rPr>
          <w:rFonts w:ascii="Times New Roman" w:hAnsi="Times New Roman"/>
          <w:color w:val="auto"/>
          <w:sz w:val="24"/>
          <w:szCs w:val="24"/>
        </w:rPr>
        <w:t>Os seguintes documentos para a comprovação da regularidade jurídica da cooperativa: a) ata de fundação; b) estatuto social com a ata da assembleia que o aprovou; c) regimento dos fundos instituídos pelos cooperados, com a ata da assembleia; d) editais de convocação das três últimas assembleias gerais extraordinárias; e) três registros de presença dos cooperados que executarão o contrato em assembleias gerais ou nas reuniões seccionais; e f) ata da sessão que os cooperados autorizaram a cooperativa a contratar o objeto da</w:t>
      </w:r>
      <w:r>
        <w:rPr>
          <w:rFonts w:ascii="Times New Roman" w:hAnsi="Times New Roman"/>
          <w:sz w:val="24"/>
          <w:szCs w:val="24"/>
          <w:shd w:fill="FFFFFF" w:val="clear"/>
        </w:rPr>
        <w:t xml:space="preserve"> contratação direta;</w:t>
      </w:r>
    </w:p>
    <w:p>
      <w:pPr>
        <w:pStyle w:val="Nivel3"/>
        <w:numPr>
          <w:ilvl w:val="2"/>
          <w:numId w:val="279"/>
        </w:numPr>
        <w:ind w:hanging="0" w:left="284"/>
        <w:rPr>
          <w:color w:val="auto"/>
        </w:rPr>
      </w:pPr>
      <w:r>
        <w:rPr>
          <w:rFonts w:ascii="Times New Roman" w:hAnsi="Times New Roman"/>
          <w:color w:val="auto"/>
          <w:sz w:val="24"/>
          <w:szCs w:val="24"/>
        </w:rPr>
        <w:t xml:space="preserve">A última auditoria contábil-financeira da cooperativa, conforme dispõe o </w:t>
      </w:r>
      <w:r>
        <w:fldChar w:fldCharType="begin"/>
      </w:r>
      <w:r>
        <w:rPr>
          <w:rStyle w:val="Hyperlink"/>
          <w:sz w:val="24"/>
          <w:szCs w:val="24"/>
          <w:rFonts w:ascii="Times New Roman" w:hAnsi="Times New Roman"/>
          <w:color w:val="auto"/>
        </w:rPr>
        <w:instrText xml:space="preserve"> HYPERLINK "https://www.planalto.gov.br/ccivil_03/leis/l5764.htm" \l "art112"</w:instrText>
      </w:r>
      <w:r>
        <w:rPr>
          <w:rStyle w:val="Hyperlink"/>
          <w:sz w:val="24"/>
          <w:szCs w:val="24"/>
          <w:rFonts w:ascii="Times New Roman" w:hAnsi="Times New Roman"/>
          <w:color w:val="auto"/>
        </w:rPr>
        <w:fldChar w:fldCharType="separate"/>
      </w:r>
      <w:r>
        <w:rPr>
          <w:rStyle w:val="Hyperlink"/>
          <w:rFonts w:ascii="Times New Roman" w:hAnsi="Times New Roman"/>
          <w:color w:val="auto"/>
          <w:sz w:val="24"/>
          <w:szCs w:val="24"/>
        </w:rPr>
        <w:t>art. 112 da Lei n. 5.764, de 1971</w:t>
      </w:r>
      <w:r>
        <w:rPr>
          <w:rStyle w:val="Hyperlink"/>
          <w:sz w:val="24"/>
          <w:szCs w:val="24"/>
          <w:rFonts w:ascii="Times New Roman" w:hAnsi="Times New Roman"/>
          <w:color w:val="auto"/>
        </w:rPr>
        <w:fldChar w:fldCharType="end"/>
      </w:r>
      <w:r>
        <w:rPr>
          <w:rFonts w:ascii="Times New Roman" w:hAnsi="Times New Roman"/>
          <w:color w:val="auto"/>
          <w:sz w:val="24"/>
          <w:szCs w:val="24"/>
        </w:rPr>
        <w:t>, ou uma declaração, sob as penas da lei, de que tal auditoria não foi exigida pelo órgão fiscalizador.</w:t>
      </w:r>
    </w:p>
    <w:p>
      <w:pPr>
        <w:pStyle w:val="Nivel01"/>
        <w:numPr>
          <w:ilvl w:val="0"/>
          <w:numId w:val="4"/>
        </w:numPr>
        <w:ind w:hanging="0" w:left="0"/>
        <w:rPr>
          <w:shd w:fill="FFFFFF" w:val="clear"/>
        </w:rPr>
      </w:pPr>
      <w:r>
        <w:rPr>
          <w:shd w:fill="FFFFFF" w:val="clear"/>
        </w:rPr>
        <w:t>ESTIMATIVAS DO VALOR DA CONTRATAÇÃO</w:t>
      </w:r>
    </w:p>
    <w:p>
      <w:pPr>
        <w:pStyle w:val="Nivel01"/>
        <w:numPr>
          <w:ilvl w:val="1"/>
          <w:numId w:val="280"/>
        </w:numPr>
        <w:rPr/>
      </w:pPr>
      <w:r>
        <w:rPr>
          <w:i w:val="false"/>
          <w:iCs w:val="false"/>
          <w:color w:val="000000"/>
          <w:sz w:val="24"/>
          <w:szCs w:val="24"/>
          <w:shd w:fill="FFFFFF" w:val="clear"/>
        </w:rPr>
        <w:t xml:space="preserve">O custo estimado total da </w:t>
      </w:r>
      <w:r>
        <w:rPr>
          <w:rFonts w:eastAsia="Segoe UI" w:cs="Arial"/>
          <w:b/>
          <w:bCs/>
          <w:i w:val="false"/>
          <w:iCs w:val="false"/>
          <w:color w:val="000000"/>
          <w:kern w:val="0"/>
          <w:sz w:val="24"/>
          <w:szCs w:val="24"/>
          <w:shd w:fill="FFFFFF" w:val="clear"/>
          <w:lang w:val="pt-BR" w:eastAsia="pt-BR" w:bidi="ar-SA"/>
        </w:rPr>
        <w:t>contratação</w:t>
      </w:r>
      <w:r>
        <w:rPr>
          <w:i w:val="false"/>
          <w:iCs w:val="false"/>
          <w:color w:val="000000"/>
          <w:sz w:val="24"/>
          <w:szCs w:val="24"/>
          <w:shd w:fill="FFFFFF" w:val="clear"/>
        </w:rPr>
        <w:t xml:space="preserve"> é de </w:t>
      </w:r>
      <w:r>
        <w:rPr>
          <w:b/>
          <w:bCs/>
          <w:i w:val="false"/>
          <w:iCs w:val="false"/>
          <w:color w:val="000000"/>
          <w:sz w:val="24"/>
          <w:szCs w:val="24"/>
          <w:shd w:fill="FFFFFF" w:val="clear"/>
          <w:lang w:val="pt-BR" w:eastAsia="pt-PT" w:bidi="pt-PT"/>
        </w:rPr>
        <w:t xml:space="preserve"> R</w:t>
      </w:r>
      <w:r>
        <w:rPr>
          <w:b/>
          <w:bCs/>
          <w:i w:val="false"/>
          <w:iCs w:val="false"/>
          <w:color w:val="000000"/>
          <w:sz w:val="24"/>
          <w:szCs w:val="24"/>
          <w:shd w:fill="FFFFFF" w:val="clear"/>
          <w:lang w:val="pt-BR" w:eastAsia="pt-PT" w:bidi="pt-PT"/>
        </w:rPr>
        <w:t xml:space="preserve">$ </w:t>
      </w:r>
      <w:r>
        <w:rPr>
          <w:rFonts w:cs="Arial"/>
          <w:b/>
          <w:bCs/>
          <w:i w:val="false"/>
          <w:iCs w:val="false"/>
          <w:color w:val="000000"/>
          <w:sz w:val="24"/>
          <w:szCs w:val="24"/>
          <w:shd w:fill="FFFFFF" w:val="clear"/>
          <w:lang w:val="pt-BR" w:eastAsia="pt-PT" w:bidi="pt-PT"/>
        </w:rPr>
        <w:t>7</w:t>
      </w:r>
      <w:r>
        <w:rPr>
          <w:rFonts w:cs="Arial"/>
          <w:b/>
          <w:bCs/>
          <w:i w:val="false"/>
          <w:iCs w:val="false"/>
          <w:color w:val="000000"/>
          <w:sz w:val="24"/>
          <w:szCs w:val="24"/>
          <w:shd w:fill="FFFFFF" w:val="clear"/>
          <w:lang w:val="pt-BR" w:eastAsia="pt-PT" w:bidi="pt-PT"/>
        </w:rPr>
        <w:t>.</w:t>
      </w:r>
      <w:r>
        <w:rPr>
          <w:rFonts w:cs="Arial"/>
          <w:b/>
          <w:bCs/>
          <w:i w:val="false"/>
          <w:iCs w:val="false"/>
          <w:color w:val="000000"/>
          <w:sz w:val="24"/>
          <w:szCs w:val="24"/>
          <w:shd w:fill="FFFFFF" w:val="clear"/>
          <w:lang w:val="pt-BR" w:eastAsia="pt-PT" w:bidi="pt-PT"/>
        </w:rPr>
        <w:t>815</w:t>
      </w:r>
      <w:r>
        <w:rPr>
          <w:rFonts w:cs="Arial"/>
          <w:b/>
          <w:bCs/>
          <w:i w:val="false"/>
          <w:iCs w:val="false"/>
          <w:color w:val="000000"/>
          <w:sz w:val="24"/>
          <w:szCs w:val="24"/>
          <w:shd w:fill="FFFFFF" w:val="clear"/>
          <w:lang w:val="pt-BR" w:eastAsia="pt-PT" w:bidi="pt-PT"/>
        </w:rPr>
        <w:t>,</w:t>
      </w:r>
      <w:r>
        <w:rPr>
          <w:rFonts w:cs="Arial"/>
          <w:b/>
          <w:bCs/>
          <w:i w:val="false"/>
          <w:iCs w:val="false"/>
          <w:color w:val="000000"/>
          <w:sz w:val="24"/>
          <w:szCs w:val="24"/>
          <w:shd w:fill="FFFFFF" w:val="clear"/>
          <w:lang w:val="pt-BR" w:eastAsia="pt-PT" w:bidi="pt-PT"/>
        </w:rPr>
        <w:t>19</w:t>
      </w:r>
      <w:r>
        <w:rPr>
          <w:b/>
          <w:bCs/>
          <w:i w:val="false"/>
          <w:iCs w:val="false"/>
          <w:color w:val="000000"/>
          <w:sz w:val="24"/>
          <w:szCs w:val="24"/>
          <w:shd w:fill="FFFFFF" w:val="clear"/>
        </w:rPr>
        <w:t xml:space="preserve"> </w:t>
      </w:r>
      <w:r>
        <w:rPr>
          <w:b/>
          <w:bCs/>
          <w:i w:val="false"/>
          <w:iCs w:val="false"/>
          <w:color w:val="000000"/>
          <w:sz w:val="24"/>
          <w:szCs w:val="24"/>
          <w:shd w:fill="FFFFFF" w:val="clear"/>
        </w:rPr>
        <w:t>(</w:t>
      </w:r>
      <w:r>
        <w:rPr>
          <w:b/>
          <w:bCs/>
          <w:i w:val="false"/>
          <w:iCs w:val="false"/>
          <w:color w:val="000000"/>
          <w:sz w:val="24"/>
          <w:szCs w:val="24"/>
          <w:shd w:fill="FFFFFF" w:val="clear"/>
        </w:rPr>
        <w:t>sete</w:t>
      </w:r>
      <w:r>
        <w:rPr>
          <w:b/>
          <w:bCs/>
          <w:i w:val="false"/>
          <w:iCs w:val="false"/>
          <w:color w:val="000000"/>
          <w:sz w:val="24"/>
          <w:szCs w:val="24"/>
          <w:shd w:fill="FFFFFF" w:val="clear"/>
        </w:rPr>
        <w:t xml:space="preserve"> mil, </w:t>
      </w:r>
      <w:r>
        <w:rPr>
          <w:b/>
          <w:bCs/>
          <w:i w:val="false"/>
          <w:iCs w:val="false"/>
          <w:color w:val="000000"/>
          <w:sz w:val="24"/>
          <w:szCs w:val="24"/>
          <w:shd w:fill="FFFFFF" w:val="clear"/>
        </w:rPr>
        <w:t>oitocentos</w:t>
      </w:r>
      <w:r>
        <w:rPr>
          <w:b/>
          <w:bCs/>
          <w:i w:val="false"/>
          <w:iCs w:val="false"/>
          <w:color w:val="000000"/>
          <w:sz w:val="24"/>
          <w:szCs w:val="24"/>
          <w:shd w:fill="FFFFFF" w:val="clear"/>
        </w:rPr>
        <w:t xml:space="preserve"> e </w:t>
      </w:r>
      <w:r>
        <w:rPr>
          <w:rFonts w:eastAsia="Segoe UI" w:cs="Arial"/>
          <w:b/>
          <w:bCs/>
          <w:i w:val="false"/>
          <w:iCs w:val="false"/>
          <w:color w:val="000000"/>
          <w:kern w:val="0"/>
          <w:sz w:val="24"/>
          <w:szCs w:val="24"/>
          <w:shd w:fill="FFFFFF" w:val="clear"/>
          <w:lang w:val="pt-BR" w:eastAsia="pt-BR" w:bidi="ar-SA"/>
        </w:rPr>
        <w:t>quinze</w:t>
      </w:r>
      <w:r>
        <w:rPr>
          <w:b/>
          <w:bCs/>
          <w:i w:val="false"/>
          <w:iCs w:val="false"/>
          <w:color w:val="000000"/>
          <w:sz w:val="24"/>
          <w:szCs w:val="24"/>
          <w:shd w:fill="FFFFFF" w:val="clear"/>
        </w:rPr>
        <w:t xml:space="preserve"> reais e </w:t>
      </w:r>
      <w:r>
        <w:rPr>
          <w:b/>
          <w:bCs/>
          <w:i w:val="false"/>
          <w:iCs w:val="false"/>
          <w:color w:val="000000"/>
          <w:sz w:val="24"/>
          <w:szCs w:val="24"/>
          <w:shd w:fill="FFFFFF" w:val="clear"/>
        </w:rPr>
        <w:t>dezenove</w:t>
      </w:r>
      <w:r>
        <w:rPr>
          <w:b/>
          <w:bCs/>
          <w:i w:val="false"/>
          <w:iCs w:val="false"/>
          <w:color w:val="000000"/>
          <w:sz w:val="24"/>
          <w:szCs w:val="24"/>
          <w:shd w:fill="FFFFFF" w:val="clear"/>
        </w:rPr>
        <w:t xml:space="preserve"> centavos)</w:t>
      </w:r>
      <w:r>
        <w:rPr>
          <w:i w:val="false"/>
          <w:iCs w:val="false"/>
          <w:color w:val="000000"/>
          <w:sz w:val="24"/>
          <w:szCs w:val="24"/>
          <w:shd w:fill="FFFFFF" w:val="clear"/>
        </w:rPr>
        <w:t>, conforme custos unitários apostos na tabela acima.</w:t>
      </w:r>
    </w:p>
    <w:p>
      <w:pPr>
        <w:pStyle w:val="Nivel01"/>
        <w:numPr>
          <w:ilvl w:val="0"/>
          <w:numId w:val="4"/>
        </w:numPr>
        <w:ind w:hanging="0" w:left="0"/>
        <w:rPr/>
      </w:pPr>
      <w:r>
        <w:rPr/>
        <w:t>ADEQUAÇÃO ORÇAMENTÁRIA</w:t>
      </w:r>
    </w:p>
    <w:p>
      <w:pPr>
        <w:pStyle w:val="Nivel2"/>
        <w:numPr>
          <w:ilvl w:val="1"/>
          <w:numId w:val="281"/>
        </w:numPr>
        <w:ind w:hanging="0" w:left="0"/>
        <w:rPr>
          <w:rFonts w:ascii="Times New Roman" w:hAnsi="Times New Roman"/>
          <w:color w:val="auto"/>
          <w:sz w:val="24"/>
          <w:szCs w:val="24"/>
        </w:rPr>
      </w:pPr>
      <w:r>
        <w:rPr>
          <w:rFonts w:ascii="Times New Roman" w:hAnsi="Times New Roman"/>
          <w:color w:val="auto"/>
          <w:sz w:val="24"/>
          <w:szCs w:val="24"/>
        </w:rPr>
        <w:t>As despesas decorrentes da presente contratação correrão à conta de recursos específicos consignados no Orçamento Geral da União.</w:t>
      </w:r>
    </w:p>
    <w:p>
      <w:pPr>
        <w:pStyle w:val="Nivel2"/>
        <w:numPr>
          <w:ilvl w:val="1"/>
          <w:numId w:val="282"/>
        </w:numPr>
        <w:ind w:hanging="0" w:left="0"/>
        <w:rPr>
          <w:rFonts w:ascii="Times New Roman" w:hAnsi="Times New Roman"/>
          <w:color w:val="auto"/>
          <w:sz w:val="24"/>
          <w:szCs w:val="24"/>
        </w:rPr>
      </w:pPr>
      <w:r>
        <w:rPr>
          <w:rFonts w:ascii="Times New Roman" w:hAnsi="Times New Roman"/>
          <w:color w:val="auto"/>
          <w:sz w:val="24"/>
          <w:szCs w:val="24"/>
        </w:rPr>
        <w:t>A contratação será atendida pela seguinte dotação:</w:t>
      </w:r>
    </w:p>
    <w:p>
      <w:pPr>
        <w:pStyle w:val="ListParagraph"/>
        <w:numPr>
          <w:ilvl w:val="0"/>
          <w:numId w:val="5"/>
        </w:numPr>
        <w:spacing w:lineRule="auto" w:line="276" w:before="120" w:after="120"/>
        <w:ind w:hanging="0" w:left="284"/>
        <w:contextualSpacing/>
        <w:jc w:val="both"/>
        <w:rPr>
          <w:rFonts w:ascii="Times New Roman" w:hAnsi="Times New Roman"/>
        </w:rPr>
      </w:pPr>
      <w:r>
        <w:rPr>
          <w:rFonts w:eastAsia="Arial" w:cs="Arial" w:ascii="Times New Roman" w:hAnsi="Times New Roman"/>
        </w:rPr>
        <w:t>Gestão/Unidade: ;</w:t>
      </w:r>
    </w:p>
    <w:p>
      <w:pPr>
        <w:pStyle w:val="ListParagraph"/>
        <w:numPr>
          <w:ilvl w:val="0"/>
          <w:numId w:val="5"/>
        </w:numPr>
        <w:spacing w:lineRule="auto" w:line="276" w:before="120" w:after="120"/>
        <w:ind w:hanging="0" w:left="284"/>
        <w:contextualSpacing/>
        <w:jc w:val="both"/>
        <w:rPr>
          <w:rFonts w:ascii="Times New Roman" w:hAnsi="Times New Roman"/>
        </w:rPr>
      </w:pPr>
      <w:r>
        <w:rPr>
          <w:rFonts w:eastAsia="Arial" w:cs="Arial" w:ascii="Times New Roman" w:hAnsi="Times New Roman"/>
        </w:rPr>
        <w:t>Fonte de Recursos: ;</w:t>
      </w:r>
    </w:p>
    <w:p>
      <w:pPr>
        <w:pStyle w:val="ListParagraph"/>
        <w:numPr>
          <w:ilvl w:val="0"/>
          <w:numId w:val="5"/>
        </w:numPr>
        <w:spacing w:lineRule="auto" w:line="276" w:before="120" w:after="120"/>
        <w:ind w:hanging="0" w:left="284"/>
        <w:contextualSpacing/>
        <w:jc w:val="both"/>
        <w:rPr>
          <w:rFonts w:ascii="Times New Roman" w:hAnsi="Times New Roman"/>
        </w:rPr>
      </w:pPr>
      <w:r>
        <w:rPr>
          <w:rFonts w:eastAsia="Arial" w:cs="Arial" w:ascii="Times New Roman" w:hAnsi="Times New Roman"/>
        </w:rPr>
        <w:t xml:space="preserve">Programa de Trabalho: </w:t>
      </w:r>
    </w:p>
    <w:p>
      <w:pPr>
        <w:pStyle w:val="ListParagraph"/>
        <w:numPr>
          <w:ilvl w:val="0"/>
          <w:numId w:val="5"/>
        </w:numPr>
        <w:spacing w:lineRule="auto" w:line="276" w:before="120" w:after="120"/>
        <w:ind w:hanging="0" w:left="284"/>
        <w:contextualSpacing/>
        <w:jc w:val="both"/>
        <w:rPr>
          <w:rFonts w:ascii="Times New Roman" w:hAnsi="Times New Roman"/>
        </w:rPr>
      </w:pPr>
      <w:r>
        <w:rPr>
          <w:rFonts w:eastAsia="Arial" w:cs="Arial" w:ascii="Times New Roman" w:hAnsi="Times New Roman"/>
        </w:rPr>
        <w:t xml:space="preserve">Elemento de Despesa: </w:t>
      </w:r>
    </w:p>
    <w:p>
      <w:pPr>
        <w:pStyle w:val="ListParagraph"/>
        <w:numPr>
          <w:ilvl w:val="0"/>
          <w:numId w:val="5"/>
        </w:numPr>
        <w:spacing w:lineRule="auto" w:line="276" w:before="120" w:after="120"/>
        <w:ind w:hanging="0" w:left="284"/>
        <w:contextualSpacing/>
        <w:jc w:val="both"/>
        <w:rPr>
          <w:rFonts w:ascii="Times New Roman" w:hAnsi="Times New Roman"/>
        </w:rPr>
      </w:pPr>
      <w:r>
        <w:rPr>
          <w:rFonts w:eastAsia="Arial" w:cs="Arial" w:ascii="Times New Roman" w:hAnsi="Times New Roman"/>
        </w:rPr>
        <w:t xml:space="preserve">Plano Interno: </w:t>
      </w:r>
    </w:p>
    <w:p>
      <w:pPr>
        <w:pStyle w:val="BodyText"/>
        <w:shd w:val="clear" w:color="auto" w:fill="FFFFFF"/>
        <w:spacing w:lineRule="auto" w:line="276" w:before="120" w:after="120"/>
        <w:ind w:left="360" w:right="-15"/>
        <w:jc w:val="right"/>
        <w:rPr>
          <w:rFonts w:ascii="Times New Roman;serif" w:hAnsi="Times New Roman;serif" w:cs="Arial"/>
          <w:sz w:val="22"/>
        </w:rPr>
      </w:pPr>
      <w:r>
        <w:rPr>
          <w:rFonts w:cs="Arial" w:ascii="Times New Roman;serif" w:hAnsi="Times New Roman;serif"/>
          <w:sz w:val="22"/>
        </w:rPr>
        <w:t xml:space="preserve">Imperatriz, </w:t>
      </w:r>
      <w:r>
        <w:rPr>
          <w:rFonts w:cs="Arial" w:ascii="Times New Roman;serif" w:hAnsi="Times New Roman;serif"/>
          <w:sz w:val="22"/>
        </w:rPr>
        <w:t>MA</w:t>
      </w:r>
      <w:r>
        <w:rPr>
          <w:rFonts w:cs="Arial" w:ascii="Times New Roman;serif" w:hAnsi="Times New Roman;serif"/>
          <w:sz w:val="22"/>
        </w:rPr>
        <w:t>, 13 de setembro de 2024</w:t>
      </w:r>
    </w:p>
    <w:p>
      <w:pPr>
        <w:pStyle w:val="BodyText"/>
        <w:spacing w:lineRule="auto" w:line="360"/>
        <w:jc w:val="both"/>
        <w:rPr/>
      </w:pPr>
      <w:r>
        <w:rPr/>
      </w:r>
    </w:p>
    <w:p>
      <w:pPr>
        <w:pStyle w:val="Contedodatabela3"/>
        <w:jc w:val="center"/>
        <w:rPr>
          <w:rFonts w:ascii="Times New Roman" w:hAnsi="Times New Roman" w:cs="Times New Roman"/>
          <w:b/>
          <w:bCs/>
          <w:sz w:val="22"/>
          <w:szCs w:val="22"/>
        </w:rPr>
      </w:pPr>
      <w:r>
        <w:rPr>
          <w:rFonts w:cs="Times New Roman" w:ascii="Times New Roman" w:hAnsi="Times New Roman"/>
          <w:b/>
          <w:bCs/>
          <w:sz w:val="22"/>
          <w:szCs w:val="22"/>
        </w:rPr>
        <w:t>CARLOS HENRIQUE LEITE DE SOUZA – Ten Cel</w:t>
      </w:r>
    </w:p>
    <w:p>
      <w:pPr>
        <w:pStyle w:val="BodyText"/>
        <w:spacing w:before="0" w:after="0"/>
        <w:jc w:val="center"/>
        <w:rPr>
          <w:rFonts w:ascii="Times New Roman;serif" w:hAnsi="Times New Roman;serif"/>
          <w:sz w:val="22"/>
        </w:rPr>
      </w:pPr>
      <w:r>
        <w:rPr>
          <w:rFonts w:eastAsia="Arial" w:cs="Arial" w:ascii="Times New Roman;serif" w:hAnsi="Times New Roman;serif"/>
          <w:sz w:val="22"/>
        </w:rPr>
        <w:t>Ordenador de Despesas do 50º BIS</w:t>
      </w:r>
    </w:p>
    <w:sectPr>
      <w:headerReference w:type="default" r:id="rId12"/>
      <w:footerReference w:type="default" r:id="rId13"/>
      <w:type w:val="nextPage"/>
      <w:pgSz w:w="11906" w:h="16838"/>
      <w:pgMar w:left="1134" w:right="1134" w:gutter="0" w:header="709" w:top="1418" w:footer="709" w:bottom="1418"/>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Ecofont_Spranq_eco_Sans">
    <w:charset w:val="00"/>
    <w:family w:val="roman"/>
    <w:pitch w:val="variable"/>
  </w:font>
  <w:font w:name="Calibri">
    <w:charset w:val="00"/>
    <w:family w:val="roman"/>
    <w:pitch w:val="variable"/>
  </w:font>
  <w:font w:name="Tahoma">
    <w:charset w:val="00"/>
    <w:family w:val="roman"/>
    <w:pitch w:val="variable"/>
  </w:font>
  <w:font w:name="Arial">
    <w:charset w:val="00"/>
    <w:family w:val="roman"/>
    <w:pitch w:val="variable"/>
  </w:font>
  <w:font w:name="Segoe UI">
    <w:charset w:val="00"/>
    <w:family w:val="roman"/>
    <w:pitch w:val="variable"/>
  </w:font>
  <w:font w:name="Liberation Sans">
    <w:altName w:val="Arial"/>
    <w:charset w:val="00"/>
    <w:family w:val="roman"/>
    <w:pitch w:val="variable"/>
  </w:font>
  <w:font w:name="Cambria">
    <w:charset w:val="00"/>
    <w:family w:val="roman"/>
    <w:pitch w:val="variable"/>
  </w:font>
  <w:font w:name="Calibri Light">
    <w:charset w:val="00"/>
    <w:family w:val="swiss"/>
    <w:pitch w:val="variable"/>
  </w:font>
  <w:font w:name="Calibri Light">
    <w:charset w:val="00"/>
    <w:family w:val="roman"/>
    <w:pitch w:val="variable"/>
  </w:font>
  <w:font w:name="Times New Roman">
    <w:altName w:val="serif"/>
    <w:charset w:val="00"/>
    <w:family w:val="roman"/>
    <w:pitch w:val="variable"/>
  </w:font>
  <w:font w:name="Rawline">
    <w:charset w:val="00"/>
    <w:family w:val="roman"/>
    <w:pitch w:val="variable"/>
  </w:font>
  <w:font w:name="Courier New">
    <w:charset w:val="01"/>
    <w:family w:val="modern"/>
    <w:pitch w:val="fixed"/>
  </w:font>
  <w:font w:name="Wingdings">
    <w:charset w:val="02"/>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color w:themeColor="dark2" w:themeTint="99" w:val="548DD4"/>
        <w:spacing w:val="60"/>
        <w:sz w:val="16"/>
        <w:szCs w:val="16"/>
      </w:rPr>
    </w:pPr>
    <w:r>
      <w:rPr>
        <w:color w:themeColor="dark2" w:themeTint="99" w:val="548DD4"/>
        <w:spacing w:val="60"/>
        <w:sz w:val="22"/>
        <w:szCs w:val="22"/>
      </w:rPr>
      <w:tab/>
      <w:tab/>
    </w:r>
  </w:p>
  <w:p>
    <w:pPr>
      <w:pStyle w:val="Footer"/>
      <w:rPr>
        <w:rFonts w:ascii="Arial" w:hAnsi="Arial" w:cs="Arial"/>
        <w:color w:themeColor="dark1" w:themeTint="80" w:val="7F7F7F"/>
        <w:sz w:val="12"/>
      </w:rPr>
    </w:pPr>
    <w:r>
      <w:rPr>
        <w:color w:themeColor="dark1" w:themeTint="80" w:val="7F7F7F"/>
        <w:spacing w:val="60"/>
        <w:sz w:val="22"/>
        <w:szCs w:val="22"/>
      </w:rPr>
      <w:tab/>
      <w:tab/>
    </w:r>
    <w:r>
      <w:rPr>
        <w:color w:themeColor="dark1" w:themeTint="a6" w:val="595959"/>
        <w:spacing w:val="60"/>
        <w:sz w:val="22"/>
        <w:szCs w:val="22"/>
      </w:rPr>
      <w:t>Página</w:t>
    </w:r>
    <w:r>
      <w:rPr>
        <w:color w:themeColor="dark1" w:themeTint="a6" w:val="595959"/>
        <w:sz w:val="22"/>
        <w:szCs w:val="22"/>
      </w:rPr>
      <w:t xml:space="preserve"> </w:t>
    </w:r>
    <w:r>
      <w:rPr>
        <w:color w:themeColor="dark1" w:themeTint="a6" w:val="595959"/>
        <w:sz w:val="22"/>
        <w:szCs w:val="22"/>
        <w:shd w:fill="E6E6E6" w:val="clear"/>
      </w:rPr>
      <w:fldChar w:fldCharType="begin"/>
    </w:r>
    <w:r>
      <w:rPr>
        <w:sz w:val="22"/>
        <w:shd w:fill="E6E6E6" w:val="clear"/>
        <w:szCs w:val="22"/>
        <w:color w:themeColor="dark1" w:themeTint="a6" w:val="595959"/>
      </w:rPr>
      <w:instrText xml:space="preserve"> PAGE </w:instrText>
    </w:r>
    <w:r>
      <w:rPr>
        <w:sz w:val="22"/>
        <w:shd w:fill="E6E6E6" w:val="clear"/>
        <w:szCs w:val="22"/>
        <w:color w:themeColor="dark1" w:themeTint="a6" w:val="595959"/>
      </w:rPr>
      <w:fldChar w:fldCharType="separate"/>
    </w:r>
    <w:r>
      <w:rPr>
        <w:sz w:val="22"/>
        <w:shd w:fill="E6E6E6" w:val="clear"/>
        <w:szCs w:val="22"/>
        <w:color w:themeColor="dark1" w:themeTint="a6" w:val="595959"/>
      </w:rPr>
      <w:t>12</w:t>
    </w:r>
    <w:r>
      <w:rPr>
        <w:sz w:val="22"/>
        <w:shd w:fill="E6E6E6" w:val="clear"/>
        <w:szCs w:val="22"/>
        <w:color w:themeColor="dark1" w:themeTint="a6" w:val="595959"/>
      </w:rPr>
      <w:fldChar w:fldCharType="end"/>
    </w:r>
    <w:r>
      <w:rPr>
        <w:color w:themeColor="dark1" w:themeTint="a6" w:val="595959"/>
        <w:sz w:val="22"/>
        <w:szCs w:val="22"/>
      </w:rPr>
      <w:t xml:space="preserve"> | </w:t>
    </w:r>
    <w:r>
      <w:rPr>
        <w:color w:themeColor="dark1" w:themeTint="a6" w:val="595959"/>
        <w:sz w:val="22"/>
        <w:szCs w:val="22"/>
        <w:shd w:fill="E6E6E6" w:val="clear"/>
      </w:rPr>
      <w:fldChar w:fldCharType="begin"/>
    </w:r>
    <w:r>
      <w:rPr>
        <w:sz w:val="22"/>
        <w:shd w:fill="E6E6E6" w:val="clear"/>
        <w:szCs w:val="22"/>
        <w:color w:themeColor="dark1" w:themeTint="a6" w:val="595959"/>
      </w:rPr>
      <w:instrText xml:space="preserve"> NUMPAGES </w:instrText>
    </w:r>
    <w:r>
      <w:rPr>
        <w:sz w:val="22"/>
        <w:shd w:fill="E6E6E6" w:val="clear"/>
        <w:szCs w:val="22"/>
        <w:color w:themeColor="dark1" w:themeTint="a6" w:val="595959"/>
      </w:rPr>
      <w:fldChar w:fldCharType="separate"/>
    </w:r>
    <w:r>
      <w:rPr>
        <w:sz w:val="22"/>
        <w:shd w:fill="E6E6E6" w:val="clear"/>
        <w:szCs w:val="22"/>
        <w:color w:themeColor="dark1" w:themeTint="a6" w:val="595959"/>
      </w:rPr>
      <w:t>15</w:t>
    </w:r>
    <w:r>
      <w:rPr>
        <w:sz w:val="22"/>
        <w:shd w:fill="E6E6E6" w:val="clear"/>
        <w:szCs w:val="22"/>
        <w:color w:themeColor="dark1" w:themeTint="a6" w:val="595959"/>
      </w:rPr>
      <w:fldChar w:fldCharType="end"/>
    </w:r>
  </w:p>
  <w:p>
    <w:pPr>
      <w:pStyle w:val="Footer"/>
      <w:rPr>
        <w:rFonts w:ascii="Rawline" w:hAnsi="Rawline" w:cs="Arial"/>
        <w:sz w:val="12"/>
      </w:rPr>
    </w:pPr>
    <w:r>
      <w:rPr>
        <w:rFonts w:cs="Arial" w:ascii="Rawline" w:hAnsi="Rawline"/>
        <w:sz w:val="12"/>
      </w:rPr>
      <w:t>Câmara Nacional de Modelos de Licitações e Contratos da Consultoria-Geral da União</w:t>
    </w:r>
  </w:p>
  <w:p>
    <w:pPr>
      <w:pStyle w:val="Footer"/>
      <w:rPr>
        <w:rFonts w:ascii="Rawline" w:hAnsi="Rawline" w:cs="Arial"/>
        <w:sz w:val="12"/>
      </w:rPr>
    </w:pPr>
    <w:r>
      <w:rPr>
        <w:rFonts w:cs="Arial" w:ascii="Rawline" w:hAnsi="Rawline"/>
        <w:sz w:val="12"/>
      </w:rPr>
      <w:t>Atualização: Dezembro/2023</w:t>
    </w:r>
  </w:p>
  <w:p>
    <w:pPr>
      <w:pStyle w:val="Footer"/>
      <w:rPr>
        <w:rFonts w:ascii="Rawline" w:hAnsi="Rawline"/>
        <w:color w:themeColor="dark2" w:themeShade="80" w:val="0F243E"/>
        <w:sz w:val="22"/>
        <w:szCs w:val="22"/>
      </w:rPr>
    </w:pPr>
    <w:r>
      <w:rPr>
        <w:rFonts w:cs="Arial" w:ascii="Rawline" w:hAnsi="Rawline"/>
        <w:sz w:val="12"/>
        <w:szCs w:val="12"/>
      </w:rPr>
      <w:t>Termo de Referência Aquisições – Contratação Direta</w:t>
      <w:tab/>
      <w:tab/>
    </w:r>
  </w:p>
  <w:p>
    <w:pPr>
      <w:pStyle w:val="Footer"/>
      <w:rPr>
        <w:rFonts w:ascii="Rawline" w:hAnsi="Rawline"/>
        <w:sz w:val="12"/>
        <w:szCs w:val="12"/>
      </w:rPr>
    </w:pPr>
    <w:r>
      <w:rPr>
        <w:rFonts w:ascii="Rawline" w:hAnsi="Rawline"/>
        <w:sz w:val="12"/>
        <w:szCs w:val="12"/>
      </w:rPr>
      <w:t>Aprovado pela Secretaria de Gestão.</w:t>
    </w:r>
  </w:p>
  <w:p>
    <w:pPr>
      <w:pStyle w:val="Footer"/>
      <w:rPr>
        <w:rFonts w:ascii="Rawline" w:hAnsi="Rawline"/>
      </w:rPr>
    </w:pPr>
    <w:r>
      <w:rPr>
        <w:rFonts w:ascii="Rawline" w:hAnsi="Rawline"/>
        <w:sz w:val="12"/>
        <w:szCs w:val="12"/>
      </w:rPr>
      <w:t>Identidade visual pela Secretaria de Gestão</w:t>
    </w:r>
  </w:p>
  <w:p>
    <w:pPr>
      <w:pStyle w:val="Footer"/>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right"/>
      <w:rPr>
        <w:rFonts w:ascii="Times New Roman" w:hAnsi="Times New Roman"/>
      </w:rPr>
    </w:pPr>
    <w:r>
      <w:rPr>
        <w:rFonts w:cs="Arial" w:ascii="Times New Roman" w:hAnsi="Times New Roman"/>
        <w:sz w:val="20"/>
        <w:szCs w:val="20"/>
      </w:rPr>
      <w:t xml:space="preserve">TERMO DE REFERÊNCIA - AQUISIÇÕES – DISPENSA </w:t>
    </w:r>
    <w:r>
      <w:rPr>
        <w:rFonts w:cs="Arial" w:ascii="Times New Roman" w:hAnsi="Times New Roman"/>
        <w:sz w:val="20"/>
        <w:szCs w:val="20"/>
        <w:shd w:fill="FFFFFF" w:val="clear"/>
      </w:rPr>
      <w:t xml:space="preserve"> ELETRÔNICA</w:t>
    </w:r>
  </w:p>
  <w:p>
    <w:pPr>
      <w:pStyle w:val="Header"/>
      <w:jc w:val="right"/>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o"/>
      <w:lvlJc w:val="left"/>
      <w:pPr>
        <w:tabs>
          <w:tab w:val="num" w:pos="0"/>
        </w:tabs>
        <w:ind w:left="720" w:hanging="360"/>
      </w:pPr>
      <w:rPr>
        <w:rFonts w:ascii="Courier New" w:hAnsi="Courier New" w:cs="Courier New"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
    <w:lvl w:ilvl="0">
      <w:start w:val="1"/>
      <w:numFmt w:val="bullet"/>
      <w:lvlText w:val=""/>
      <w:lvlJc w:val="left"/>
      <w:pPr>
        <w:tabs>
          <w:tab w:val="num" w:pos="1492"/>
        </w:tabs>
        <w:ind w:left="1492" w:hanging="360"/>
      </w:pPr>
      <w:rPr>
        <w:rFonts w:ascii="Symbol" w:hAnsi="Symbol" w:cs="Symbol"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
    <w:lvl w:ilvl="0">
      <w:start w:val="1"/>
      <w:numFmt w:val="upperRoman"/>
      <w:lvlText w:val="%1)"/>
      <w:lvlJc w:val="left"/>
      <w:pPr>
        <w:tabs>
          <w:tab w:val="num" w:pos="0"/>
        </w:tabs>
        <w:ind w:left="2136" w:hanging="720"/>
      </w:pPr>
      <w:rPr/>
    </w:lvl>
    <w:lvl w:ilvl="1">
      <w:start w:val="1"/>
      <w:numFmt w:val="lowerLetter"/>
      <w:lvlText w:val="%2."/>
      <w:lvlJc w:val="left"/>
      <w:pPr>
        <w:tabs>
          <w:tab w:val="num" w:pos="0"/>
        </w:tabs>
        <w:ind w:left="2496" w:hanging="360"/>
      </w:pPr>
      <w:rPr/>
    </w:lvl>
    <w:lvl w:ilvl="2">
      <w:start w:val="1"/>
      <w:numFmt w:val="lowerRoman"/>
      <w:lvlText w:val="%3."/>
      <w:lvlJc w:val="right"/>
      <w:pPr>
        <w:tabs>
          <w:tab w:val="num" w:pos="0"/>
        </w:tabs>
        <w:ind w:left="3216" w:hanging="180"/>
      </w:pPr>
      <w:rPr/>
    </w:lvl>
    <w:lvl w:ilvl="3">
      <w:start w:val="1"/>
      <w:numFmt w:val="decimal"/>
      <w:lvlText w:val="%4."/>
      <w:lvlJc w:val="left"/>
      <w:pPr>
        <w:tabs>
          <w:tab w:val="num" w:pos="0"/>
        </w:tabs>
        <w:ind w:left="3936" w:hanging="360"/>
      </w:pPr>
      <w:rPr/>
    </w:lvl>
    <w:lvl w:ilvl="4">
      <w:start w:val="1"/>
      <w:numFmt w:val="lowerLetter"/>
      <w:lvlText w:val="%5."/>
      <w:lvlJc w:val="left"/>
      <w:pPr>
        <w:tabs>
          <w:tab w:val="num" w:pos="0"/>
        </w:tabs>
        <w:ind w:left="4656" w:hanging="360"/>
      </w:pPr>
      <w:rPr/>
    </w:lvl>
    <w:lvl w:ilvl="5">
      <w:start w:val="1"/>
      <w:numFmt w:val="lowerRoman"/>
      <w:lvlText w:val="%6."/>
      <w:lvlJc w:val="right"/>
      <w:pPr>
        <w:tabs>
          <w:tab w:val="num" w:pos="0"/>
        </w:tabs>
        <w:ind w:left="5376" w:hanging="180"/>
      </w:pPr>
      <w:rPr/>
    </w:lvl>
    <w:lvl w:ilvl="6">
      <w:start w:val="1"/>
      <w:numFmt w:val="decimal"/>
      <w:lvlText w:val="%7."/>
      <w:lvlJc w:val="left"/>
      <w:pPr>
        <w:tabs>
          <w:tab w:val="num" w:pos="0"/>
        </w:tabs>
        <w:ind w:left="6096" w:hanging="360"/>
      </w:pPr>
      <w:rPr/>
    </w:lvl>
    <w:lvl w:ilvl="7">
      <w:start w:val="1"/>
      <w:numFmt w:val="lowerLetter"/>
      <w:lvlText w:val="%8."/>
      <w:lvlJc w:val="left"/>
      <w:pPr>
        <w:tabs>
          <w:tab w:val="num" w:pos="0"/>
        </w:tabs>
        <w:ind w:left="6816" w:hanging="360"/>
      </w:pPr>
      <w:rPr/>
    </w:lvl>
    <w:lvl w:ilvl="8">
      <w:start w:val="1"/>
      <w:numFmt w:val="lowerRoman"/>
      <w:lvlText w:val="%9."/>
      <w:lvlJc w:val="right"/>
      <w:pPr>
        <w:tabs>
          <w:tab w:val="num" w:pos="0"/>
        </w:tabs>
        <w:ind w:left="7536" w:hanging="180"/>
      </w:pPr>
      <w:rPr/>
    </w:lvl>
  </w:abstractNum>
  <w:abstractNum w:abstractNumId="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3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3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3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3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3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3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3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3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3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3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4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4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4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4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44">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 w:numId="57">
    <w:abstractNumId w:val="57"/>
  </w:num>
  <w:num w:numId="58">
    <w:abstractNumId w:val="58"/>
  </w:num>
  <w:num w:numId="59">
    <w:abstractNumId w:val="59"/>
  </w:num>
  <w:num w:numId="60">
    <w:abstractNumId w:val="60"/>
  </w:num>
  <w:num w:numId="61">
    <w:abstractNumId w:val="61"/>
  </w:num>
  <w:num w:numId="62">
    <w:abstractNumId w:val="62"/>
  </w:num>
  <w:num w:numId="63">
    <w:abstractNumId w:val="63"/>
  </w:num>
  <w:num w:numId="64">
    <w:abstractNumId w:val="64"/>
  </w:num>
  <w:num w:numId="65">
    <w:abstractNumId w:val="65"/>
  </w:num>
  <w:num w:numId="66">
    <w:abstractNumId w:val="66"/>
  </w:num>
  <w:num w:numId="67">
    <w:abstractNumId w:val="67"/>
  </w:num>
  <w:num w:numId="68">
    <w:abstractNumId w:val="68"/>
  </w:num>
  <w:num w:numId="69">
    <w:abstractNumId w:val="69"/>
  </w:num>
  <w:num w:numId="70">
    <w:abstractNumId w:val="70"/>
  </w:num>
  <w:num w:numId="71">
    <w:abstractNumId w:val="71"/>
  </w:num>
  <w:num w:numId="72">
    <w:abstractNumId w:val="72"/>
  </w:num>
  <w:num w:numId="73">
    <w:abstractNumId w:val="73"/>
  </w:num>
  <w:num w:numId="74">
    <w:abstractNumId w:val="74"/>
  </w:num>
  <w:num w:numId="75">
    <w:abstractNumId w:val="75"/>
  </w:num>
  <w:num w:numId="76">
    <w:abstractNumId w:val="76"/>
  </w:num>
  <w:num w:numId="77">
    <w:abstractNumId w:val="77"/>
  </w:num>
  <w:num w:numId="78">
    <w:abstractNumId w:val="78"/>
  </w:num>
  <w:num w:numId="79">
    <w:abstractNumId w:val="79"/>
  </w:num>
  <w:num w:numId="80">
    <w:abstractNumId w:val="80"/>
  </w:num>
  <w:num w:numId="81">
    <w:abstractNumId w:val="81"/>
  </w:num>
  <w:num w:numId="82">
    <w:abstractNumId w:val="82"/>
  </w:num>
  <w:num w:numId="83">
    <w:abstractNumId w:val="83"/>
  </w:num>
  <w:num w:numId="84">
    <w:abstractNumId w:val="84"/>
  </w:num>
  <w:num w:numId="85">
    <w:abstractNumId w:val="85"/>
  </w:num>
  <w:num w:numId="86">
    <w:abstractNumId w:val="86"/>
  </w:num>
  <w:num w:numId="87">
    <w:abstractNumId w:val="87"/>
  </w:num>
  <w:num w:numId="88">
    <w:abstractNumId w:val="88"/>
  </w:num>
  <w:num w:numId="89">
    <w:abstractNumId w:val="89"/>
  </w:num>
  <w:num w:numId="90">
    <w:abstractNumId w:val="90"/>
  </w:num>
  <w:num w:numId="91">
    <w:abstractNumId w:val="91"/>
  </w:num>
  <w:num w:numId="92">
    <w:abstractNumId w:val="92"/>
  </w:num>
  <w:num w:numId="93">
    <w:abstractNumId w:val="93"/>
  </w:num>
  <w:num w:numId="94">
    <w:abstractNumId w:val="94"/>
  </w:num>
  <w:num w:numId="95">
    <w:abstractNumId w:val="95"/>
  </w:num>
  <w:num w:numId="96">
    <w:abstractNumId w:val="96"/>
  </w:num>
  <w:num w:numId="97">
    <w:abstractNumId w:val="97"/>
  </w:num>
  <w:num w:numId="98">
    <w:abstractNumId w:val="98"/>
  </w:num>
  <w:num w:numId="99">
    <w:abstractNumId w:val="99"/>
  </w:num>
  <w:num w:numId="100">
    <w:abstractNumId w:val="100"/>
  </w:num>
  <w:num w:numId="101">
    <w:abstractNumId w:val="101"/>
  </w:num>
  <w:num w:numId="102">
    <w:abstractNumId w:val="102"/>
  </w:num>
  <w:num w:numId="103">
    <w:abstractNumId w:val="103"/>
  </w:num>
  <w:num w:numId="104">
    <w:abstractNumId w:val="104"/>
  </w:num>
  <w:num w:numId="105">
    <w:abstractNumId w:val="105"/>
  </w:num>
  <w:num w:numId="106">
    <w:abstractNumId w:val="106"/>
  </w:num>
  <w:num w:numId="107">
    <w:abstractNumId w:val="107"/>
  </w:num>
  <w:num w:numId="108">
    <w:abstractNumId w:val="108"/>
  </w:num>
  <w:num w:numId="109">
    <w:abstractNumId w:val="109"/>
  </w:num>
  <w:num w:numId="110">
    <w:abstractNumId w:val="110"/>
  </w:num>
  <w:num w:numId="111">
    <w:abstractNumId w:val="111"/>
  </w:num>
  <w:num w:numId="112">
    <w:abstractNumId w:val="112"/>
  </w:num>
  <w:num w:numId="113">
    <w:abstractNumId w:val="113"/>
  </w:num>
  <w:num w:numId="114">
    <w:abstractNumId w:val="114"/>
  </w:num>
  <w:num w:numId="115">
    <w:abstractNumId w:val="115"/>
  </w:num>
  <w:num w:numId="116">
    <w:abstractNumId w:val="116"/>
  </w:num>
  <w:num w:numId="117">
    <w:abstractNumId w:val="117"/>
  </w:num>
  <w:num w:numId="118">
    <w:abstractNumId w:val="118"/>
  </w:num>
  <w:num w:numId="119">
    <w:abstractNumId w:val="119"/>
  </w:num>
  <w:num w:numId="120">
    <w:abstractNumId w:val="120"/>
  </w:num>
  <w:num w:numId="121">
    <w:abstractNumId w:val="121"/>
  </w:num>
  <w:num w:numId="122">
    <w:abstractNumId w:val="122"/>
  </w:num>
  <w:num w:numId="123">
    <w:abstractNumId w:val="123"/>
  </w:num>
  <w:num w:numId="124">
    <w:abstractNumId w:val="124"/>
  </w:num>
  <w:num w:numId="125">
    <w:abstractNumId w:val="125"/>
  </w:num>
  <w:num w:numId="126">
    <w:abstractNumId w:val="126"/>
  </w:num>
  <w:num w:numId="127">
    <w:abstractNumId w:val="127"/>
  </w:num>
  <w:num w:numId="128">
    <w:abstractNumId w:val="128"/>
  </w:num>
  <w:num w:numId="129">
    <w:abstractNumId w:val="129"/>
  </w:num>
  <w:num w:numId="130">
    <w:abstractNumId w:val="130"/>
  </w:num>
  <w:num w:numId="131">
    <w:abstractNumId w:val="131"/>
  </w:num>
  <w:num w:numId="132">
    <w:abstractNumId w:val="132"/>
  </w:num>
  <w:num w:numId="133">
    <w:abstractNumId w:val="133"/>
  </w:num>
  <w:num w:numId="134">
    <w:abstractNumId w:val="134"/>
  </w:num>
  <w:num w:numId="135">
    <w:abstractNumId w:val="135"/>
  </w:num>
  <w:num w:numId="136">
    <w:abstractNumId w:val="136"/>
  </w:num>
  <w:num w:numId="137">
    <w:abstractNumId w:val="137"/>
  </w:num>
  <w:num w:numId="138">
    <w:abstractNumId w:val="138"/>
  </w:num>
  <w:num w:numId="139">
    <w:abstractNumId w:val="139"/>
  </w:num>
  <w:num w:numId="140">
    <w:abstractNumId w:val="140"/>
  </w:num>
  <w:num w:numId="141">
    <w:abstractNumId w:val="141"/>
  </w:num>
  <w:num w:numId="142">
    <w:abstractNumId w:val="142"/>
  </w:num>
  <w:num w:numId="143">
    <w:abstractNumId w:val="143"/>
  </w:num>
  <w:num w:numId="144">
    <w:abstractNumId w:val="144"/>
  </w:num>
  <w:num w:numId="145">
    <w:abstractNumId w:val="4"/>
  </w:num>
  <w:num w:numId="146">
    <w:abstractNumId w:val="4"/>
  </w:num>
  <w:num w:numId="147">
    <w:abstractNumId w:val="4"/>
  </w:num>
  <w:num w:numId="148">
    <w:abstractNumId w:val="4"/>
  </w:num>
  <w:num w:numId="149">
    <w:abstractNumId w:val="4"/>
  </w:num>
  <w:num w:numId="150">
    <w:abstractNumId w:val="4"/>
  </w:num>
  <w:num w:numId="151">
    <w:abstractNumId w:val="4"/>
  </w:num>
  <w:num w:numId="152">
    <w:abstractNumId w:val="4"/>
  </w:num>
  <w:num w:numId="153">
    <w:abstractNumId w:val="4"/>
  </w:num>
  <w:num w:numId="154">
    <w:abstractNumId w:val="4"/>
  </w:num>
  <w:num w:numId="155">
    <w:abstractNumId w:val="4"/>
  </w:num>
  <w:num w:numId="156">
    <w:abstractNumId w:val="4"/>
  </w:num>
  <w:num w:numId="157">
    <w:abstractNumId w:val="4"/>
  </w:num>
  <w:num w:numId="158">
    <w:abstractNumId w:val="4"/>
  </w:num>
  <w:num w:numId="159">
    <w:abstractNumId w:val="4"/>
  </w:num>
  <w:num w:numId="160">
    <w:abstractNumId w:val="4"/>
  </w:num>
  <w:num w:numId="161">
    <w:abstractNumId w:val="4"/>
  </w:num>
  <w:num w:numId="162">
    <w:abstractNumId w:val="4"/>
  </w:num>
  <w:num w:numId="163">
    <w:abstractNumId w:val="4"/>
  </w:num>
  <w:num w:numId="164">
    <w:abstractNumId w:val="4"/>
  </w:num>
  <w:num w:numId="165">
    <w:abstractNumId w:val="4"/>
  </w:num>
  <w:num w:numId="166">
    <w:abstractNumId w:val="4"/>
  </w:num>
  <w:num w:numId="167">
    <w:abstractNumId w:val="4"/>
  </w:num>
  <w:num w:numId="168">
    <w:abstractNumId w:val="4"/>
  </w:num>
  <w:num w:numId="169">
    <w:abstractNumId w:val="4"/>
  </w:num>
  <w:num w:numId="170">
    <w:abstractNumId w:val="4"/>
  </w:num>
  <w:num w:numId="171">
    <w:abstractNumId w:val="4"/>
  </w:num>
  <w:num w:numId="172">
    <w:abstractNumId w:val="4"/>
  </w:num>
  <w:num w:numId="173">
    <w:abstractNumId w:val="4"/>
  </w:num>
  <w:num w:numId="174">
    <w:abstractNumId w:val="4"/>
  </w:num>
  <w:num w:numId="175">
    <w:abstractNumId w:val="4"/>
  </w:num>
  <w:num w:numId="176">
    <w:abstractNumId w:val="4"/>
  </w:num>
  <w:num w:numId="177">
    <w:abstractNumId w:val="4"/>
  </w:num>
  <w:num w:numId="178">
    <w:abstractNumId w:val="4"/>
  </w:num>
  <w:num w:numId="179">
    <w:abstractNumId w:val="4"/>
  </w:num>
  <w:num w:numId="180">
    <w:abstractNumId w:val="4"/>
  </w:num>
  <w:num w:numId="181">
    <w:abstractNumId w:val="4"/>
  </w:num>
  <w:num w:numId="182">
    <w:abstractNumId w:val="4"/>
  </w:num>
  <w:num w:numId="183">
    <w:abstractNumId w:val="4"/>
  </w:num>
  <w:num w:numId="184">
    <w:abstractNumId w:val="4"/>
  </w:num>
  <w:num w:numId="185">
    <w:abstractNumId w:val="4"/>
  </w:num>
  <w:num w:numId="186">
    <w:abstractNumId w:val="4"/>
  </w:num>
  <w:num w:numId="187">
    <w:abstractNumId w:val="4"/>
  </w:num>
  <w:num w:numId="188">
    <w:abstractNumId w:val="4"/>
  </w:num>
  <w:num w:numId="189">
    <w:abstractNumId w:val="4"/>
  </w:num>
  <w:num w:numId="190">
    <w:abstractNumId w:val="4"/>
  </w:num>
  <w:num w:numId="191">
    <w:abstractNumId w:val="4"/>
  </w:num>
  <w:num w:numId="192">
    <w:abstractNumId w:val="4"/>
  </w:num>
  <w:num w:numId="193">
    <w:abstractNumId w:val="4"/>
  </w:num>
  <w:num w:numId="194">
    <w:abstractNumId w:val="4"/>
  </w:num>
  <w:num w:numId="195">
    <w:abstractNumId w:val="4"/>
  </w:num>
  <w:num w:numId="196">
    <w:abstractNumId w:val="4"/>
  </w:num>
  <w:num w:numId="197">
    <w:abstractNumId w:val="4"/>
  </w:num>
  <w:num w:numId="198">
    <w:abstractNumId w:val="4"/>
  </w:num>
  <w:num w:numId="199">
    <w:abstractNumId w:val="4"/>
  </w:num>
  <w:num w:numId="200">
    <w:abstractNumId w:val="4"/>
  </w:num>
  <w:num w:numId="201">
    <w:abstractNumId w:val="4"/>
  </w:num>
  <w:num w:numId="202">
    <w:abstractNumId w:val="4"/>
  </w:num>
  <w:num w:numId="203">
    <w:abstractNumId w:val="4"/>
  </w:num>
  <w:num w:numId="204">
    <w:abstractNumId w:val="4"/>
  </w:num>
  <w:num w:numId="205">
    <w:abstractNumId w:val="4"/>
  </w:num>
  <w:num w:numId="206">
    <w:abstractNumId w:val="4"/>
  </w:num>
  <w:num w:numId="207">
    <w:abstractNumId w:val="4"/>
  </w:num>
  <w:num w:numId="208">
    <w:abstractNumId w:val="4"/>
  </w:num>
  <w:num w:numId="209">
    <w:abstractNumId w:val="4"/>
  </w:num>
  <w:num w:numId="210">
    <w:abstractNumId w:val="4"/>
  </w:num>
  <w:num w:numId="211">
    <w:abstractNumId w:val="4"/>
  </w:num>
  <w:num w:numId="212">
    <w:abstractNumId w:val="4"/>
  </w:num>
  <w:num w:numId="213">
    <w:abstractNumId w:val="4"/>
  </w:num>
  <w:num w:numId="214">
    <w:abstractNumId w:val="4"/>
  </w:num>
  <w:num w:numId="215">
    <w:abstractNumId w:val="4"/>
  </w:num>
  <w:num w:numId="216">
    <w:abstractNumId w:val="4"/>
  </w:num>
  <w:num w:numId="217">
    <w:abstractNumId w:val="4"/>
  </w:num>
  <w:num w:numId="218">
    <w:abstractNumId w:val="4"/>
  </w:num>
  <w:num w:numId="219">
    <w:abstractNumId w:val="4"/>
  </w:num>
  <w:num w:numId="220">
    <w:abstractNumId w:val="4"/>
  </w:num>
  <w:num w:numId="221">
    <w:abstractNumId w:val="4"/>
  </w:num>
  <w:num w:numId="222">
    <w:abstractNumId w:val="4"/>
  </w:num>
  <w:num w:numId="223">
    <w:abstractNumId w:val="4"/>
  </w:num>
  <w:num w:numId="224">
    <w:abstractNumId w:val="4"/>
  </w:num>
  <w:num w:numId="225">
    <w:abstractNumId w:val="4"/>
  </w:num>
  <w:num w:numId="226">
    <w:abstractNumId w:val="4"/>
  </w:num>
  <w:num w:numId="227">
    <w:abstractNumId w:val="4"/>
  </w:num>
  <w:num w:numId="228">
    <w:abstractNumId w:val="4"/>
  </w:num>
  <w:num w:numId="229">
    <w:abstractNumId w:val="4"/>
  </w:num>
  <w:num w:numId="230">
    <w:abstractNumId w:val="4"/>
  </w:num>
  <w:num w:numId="231">
    <w:abstractNumId w:val="4"/>
  </w:num>
  <w:num w:numId="232">
    <w:abstractNumId w:val="4"/>
  </w:num>
  <w:num w:numId="233">
    <w:abstractNumId w:val="4"/>
  </w:num>
  <w:num w:numId="234">
    <w:abstractNumId w:val="4"/>
  </w:num>
  <w:num w:numId="235">
    <w:abstractNumId w:val="4"/>
  </w:num>
  <w:num w:numId="236">
    <w:abstractNumId w:val="4"/>
  </w:num>
  <w:num w:numId="237">
    <w:abstractNumId w:val="4"/>
  </w:num>
  <w:num w:numId="238">
    <w:abstractNumId w:val="4"/>
  </w:num>
  <w:num w:numId="239">
    <w:abstractNumId w:val="4"/>
  </w:num>
  <w:num w:numId="240">
    <w:abstractNumId w:val="4"/>
  </w:num>
  <w:num w:numId="241">
    <w:abstractNumId w:val="4"/>
  </w:num>
  <w:num w:numId="242">
    <w:abstractNumId w:val="4"/>
  </w:num>
  <w:num w:numId="243">
    <w:abstractNumId w:val="4"/>
  </w:num>
  <w:num w:numId="244">
    <w:abstractNumId w:val="4"/>
  </w:num>
  <w:num w:numId="245">
    <w:abstractNumId w:val="4"/>
  </w:num>
  <w:num w:numId="246">
    <w:abstractNumId w:val="4"/>
  </w:num>
  <w:num w:numId="247">
    <w:abstractNumId w:val="4"/>
  </w:num>
  <w:num w:numId="248">
    <w:abstractNumId w:val="4"/>
  </w:num>
  <w:num w:numId="249">
    <w:abstractNumId w:val="4"/>
  </w:num>
  <w:num w:numId="250">
    <w:abstractNumId w:val="4"/>
  </w:num>
  <w:num w:numId="251">
    <w:abstractNumId w:val="4"/>
  </w:num>
  <w:num w:numId="252">
    <w:abstractNumId w:val="4"/>
  </w:num>
  <w:num w:numId="253">
    <w:abstractNumId w:val="4"/>
  </w:num>
  <w:num w:numId="254">
    <w:abstractNumId w:val="4"/>
  </w:num>
  <w:num w:numId="255">
    <w:abstractNumId w:val="4"/>
  </w:num>
  <w:num w:numId="256">
    <w:abstractNumId w:val="4"/>
  </w:num>
  <w:num w:numId="257">
    <w:abstractNumId w:val="4"/>
  </w:num>
  <w:num w:numId="258">
    <w:abstractNumId w:val="4"/>
  </w:num>
  <w:num w:numId="259">
    <w:abstractNumId w:val="4"/>
  </w:num>
  <w:num w:numId="260">
    <w:abstractNumId w:val="4"/>
  </w:num>
  <w:num w:numId="261">
    <w:abstractNumId w:val="4"/>
  </w:num>
  <w:num w:numId="262">
    <w:abstractNumId w:val="4"/>
  </w:num>
  <w:num w:numId="263">
    <w:abstractNumId w:val="4"/>
  </w:num>
  <w:num w:numId="264">
    <w:abstractNumId w:val="4"/>
  </w:num>
  <w:num w:numId="265">
    <w:abstractNumId w:val="4"/>
  </w:num>
  <w:num w:numId="266">
    <w:abstractNumId w:val="4"/>
  </w:num>
  <w:num w:numId="267">
    <w:abstractNumId w:val="4"/>
  </w:num>
  <w:num w:numId="268">
    <w:abstractNumId w:val="4"/>
  </w:num>
  <w:num w:numId="269">
    <w:abstractNumId w:val="4"/>
  </w:num>
  <w:num w:numId="270">
    <w:abstractNumId w:val="4"/>
  </w:num>
  <w:num w:numId="271">
    <w:abstractNumId w:val="4"/>
  </w:num>
  <w:num w:numId="272">
    <w:abstractNumId w:val="4"/>
  </w:num>
  <w:num w:numId="273">
    <w:abstractNumId w:val="4"/>
  </w:num>
  <w:num w:numId="274">
    <w:abstractNumId w:val="4"/>
  </w:num>
  <w:num w:numId="275">
    <w:abstractNumId w:val="4"/>
  </w:num>
  <w:num w:numId="276">
    <w:abstractNumId w:val="4"/>
  </w:num>
  <w:num w:numId="277">
    <w:abstractNumId w:val="4"/>
  </w:num>
  <w:num w:numId="278">
    <w:abstractNumId w:val="4"/>
  </w:num>
  <w:num w:numId="279">
    <w:abstractNumId w:val="4"/>
  </w:num>
  <w:num w:numId="280">
    <w:abstractNumId w:val="4"/>
  </w:num>
  <w:num w:numId="281">
    <w:abstractNumId w:val="4"/>
  </w:num>
  <w:num w:numId="282">
    <w:abstractNumId w:val="4"/>
  </w:num>
</w:numbering>
</file>

<file path=word/settings.xml><?xml version="1.0" encoding="utf-8"?>
<w:settings xmlns:w="http://schemas.openxmlformats.org/wordprocessingml/2006/main">
  <w:zoom w:percent="75"/>
  <w:mirrorMargins/>
  <w:defaultTabStop w:val="708"/>
  <w:autoHyphenation w:val="true"/>
  <w:hyphenationZone w:val="425"/>
  <w:compat>
    <w:compatSetting w:name="compatibilityMode" w:uri="http://schemas.microsoft.com/office/word" w:val="12"/>
  </w:compat>
  <w:themeFontLang w:val="pt-B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Segoe UI" w:cs="Times New Roman"/>
        <w:lang w:val="pt-BR" w:eastAsia="en-US"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Body Text" w:uiPriority="0"/>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b0482c"/>
    <w:pPr>
      <w:widowControl/>
      <w:suppressAutoHyphens w:val="true"/>
      <w:overflowPunct w:val="true"/>
      <w:bidi w:val="0"/>
      <w:spacing w:before="0" w:after="0"/>
      <w:jc w:val="left"/>
    </w:pPr>
    <w:rPr>
      <w:rFonts w:ascii="Ecofont_Spranq_eco_Sans" w:hAnsi="Ecofont_Spranq_eco_Sans" w:eastAsia="Segoe UI" w:cs="Tahoma"/>
      <w:color w:val="auto"/>
      <w:kern w:val="0"/>
      <w:sz w:val="24"/>
      <w:szCs w:val="24"/>
      <w:lang w:val="pt-BR" w:eastAsia="pt-BR" w:bidi="ar-SA"/>
    </w:rPr>
  </w:style>
  <w:style w:type="paragraph" w:styleId="Heading1" w:customStyle="1">
    <w:name w:val="Heading 1"/>
    <w:basedOn w:val="Normal"/>
    <w:next w:val="Normal"/>
    <w:link w:val="Ttulo1Char"/>
    <w:qFormat/>
    <w:rsid w:val="00b0482c"/>
    <w:pPr>
      <w:keepNext w:val="true"/>
      <w:keepLines/>
      <w:spacing w:before="480" w:after="0"/>
      <w:outlineLvl w:val="0"/>
    </w:pPr>
    <w:rPr>
      <w:rFonts w:ascii="Calibri" w:hAnsi="Calibri" w:cs="Times New Roman"/>
      <w:b/>
      <w:bCs/>
      <w:color w:themeColor="accent1" w:themeShade="bf" w:val="365F91"/>
      <w:sz w:val="28"/>
      <w:szCs w:val="28"/>
    </w:rPr>
  </w:style>
  <w:style w:type="paragraph" w:styleId="Heading2" w:customStyle="1">
    <w:name w:val="Heading 2"/>
    <w:basedOn w:val="Normal"/>
    <w:next w:val="Normal"/>
    <w:link w:val="Ttulo2Char"/>
    <w:qFormat/>
    <w:rsid w:val="00b0482c"/>
    <w:pPr>
      <w:keepNext w:val="true"/>
      <w:tabs>
        <w:tab w:val="clear" w:pos="708"/>
        <w:tab w:val="left" w:pos="1701" w:leader="none"/>
      </w:tabs>
      <w:ind w:right="-1"/>
      <w:jc w:val="center"/>
      <w:outlineLvl w:val="1"/>
    </w:pPr>
    <w:rPr>
      <w:rFonts w:ascii="Times New Roman" w:hAnsi="Times New Roman" w:cs="Times New Roman"/>
      <w:b/>
      <w:color w:val="000000"/>
      <w:szCs w:val="20"/>
    </w:rPr>
  </w:style>
  <w:style w:type="paragraph" w:styleId="Heading3" w:customStyle="1">
    <w:name w:val="Heading 3"/>
    <w:basedOn w:val="Normal"/>
    <w:next w:val="Normal"/>
    <w:link w:val="Ttulo3Char"/>
    <w:qFormat/>
    <w:rsid w:val="00b0482c"/>
    <w:pPr>
      <w:keepNext w:val="true"/>
      <w:keepLines/>
      <w:spacing w:lineRule="auto" w:line="259" w:before="40" w:after="0"/>
      <w:outlineLvl w:val="2"/>
    </w:pPr>
    <w:rPr>
      <w:rFonts w:ascii="Calibri" w:hAnsi="Calibri" w:cs="Times New Roman"/>
      <w:color w:themeColor="accent1" w:themeShade="7f" w:val="243F60"/>
      <w:lang w:eastAsia="en-US"/>
    </w:rPr>
  </w:style>
  <w:style w:type="paragraph" w:styleId="Heading4" w:customStyle="1">
    <w:name w:val="Heading 4"/>
    <w:basedOn w:val="Normal"/>
    <w:next w:val="Normal"/>
    <w:link w:val="Ttulo4Char"/>
    <w:qFormat/>
    <w:rsid w:val="00b0482c"/>
    <w:pPr>
      <w:keepNext w:val="true"/>
      <w:keepLines/>
      <w:spacing w:before="40" w:after="0"/>
      <w:outlineLvl w:val="3"/>
    </w:pPr>
    <w:rPr>
      <w:rFonts w:ascii="Calibri" w:hAnsi="Calibri" w:cs="Times New Roman"/>
      <w:i/>
      <w:iCs/>
      <w:color w:themeColor="accent1" w:themeShade="bf" w:val="365F91"/>
    </w:rPr>
  </w:style>
  <w:style w:type="paragraph" w:styleId="Heading6" w:customStyle="1">
    <w:name w:val="Heading 6"/>
    <w:basedOn w:val="Normal"/>
    <w:next w:val="Normal"/>
    <w:link w:val="Ttulo6Char"/>
    <w:qFormat/>
    <w:rsid w:val="00b0482c"/>
    <w:pPr>
      <w:keepNext w:val="true"/>
      <w:keepLines/>
      <w:spacing w:lineRule="auto" w:line="259" w:before="40" w:after="0"/>
      <w:outlineLvl w:val="5"/>
    </w:pPr>
    <w:rPr>
      <w:rFonts w:ascii="Calibri" w:hAnsi="Calibri" w:cs="Times New Roman"/>
      <w:color w:themeColor="accent1" w:themeShade="7f" w:val="243F60"/>
      <w:sz w:val="22"/>
      <w:szCs w:val="22"/>
      <w:lang w:eastAsia="en-US"/>
    </w:rPr>
  </w:style>
  <w:style w:type="character" w:styleId="DefaultParagraphFont" w:default="1">
    <w:name w:val="Default Paragraph Font"/>
    <w:uiPriority w:val="1"/>
    <w:semiHidden/>
    <w:unhideWhenUsed/>
    <w:qFormat/>
    <w:rPr/>
  </w:style>
  <w:style w:type="character" w:styleId="TextodebaloChar" w:customStyle="1">
    <w:name w:val="Texto de balão Char"/>
    <w:link w:val="BalloonText"/>
    <w:qFormat/>
    <w:rsid w:val="00b0482c"/>
    <w:rPr>
      <w:rFonts w:ascii="Tahoma" w:hAnsi="Tahoma" w:cs="Tahoma"/>
      <w:sz w:val="16"/>
      <w:szCs w:val="16"/>
    </w:rPr>
  </w:style>
  <w:style w:type="character" w:styleId="Ttulo2Char" w:customStyle="1">
    <w:name w:val="Título 2 Char"/>
    <w:qFormat/>
    <w:rsid w:val="00b0482c"/>
    <w:rPr>
      <w:b/>
      <w:color w:val="000000"/>
      <w:sz w:val="24"/>
    </w:rPr>
  </w:style>
  <w:style w:type="character" w:styleId="Normalchar1" w:customStyle="1">
    <w:name w:val="normal__char1"/>
    <w:qFormat/>
    <w:rsid w:val="00b0482c"/>
    <w:rPr>
      <w:rFonts w:ascii="Arial" w:hAnsi="Arial" w:cs="Arial"/>
      <w:strike w:val="false"/>
      <w:dstrike w:val="false"/>
      <w:sz w:val="24"/>
      <w:szCs w:val="24"/>
      <w:u w:val="none"/>
      <w:effect w:val="none"/>
    </w:rPr>
  </w:style>
  <w:style w:type="character" w:styleId="Apple-style-span" w:customStyle="1">
    <w:name w:val="apple-style-span"/>
    <w:basedOn w:val="DefaultParagraphFont"/>
    <w:qFormat/>
    <w:rsid w:val="00b0482c"/>
    <w:rPr/>
  </w:style>
  <w:style w:type="character" w:styleId="Hyperlink">
    <w:name w:val="Hyperlink"/>
    <w:basedOn w:val="DefaultParagraphFont"/>
    <w:rsid w:val="00b0482c"/>
    <w:rPr>
      <w:color w:themeColor="hyperlink" w:val="0000FF"/>
      <w:u w:val="single"/>
    </w:rPr>
  </w:style>
  <w:style w:type="character" w:styleId="CitaoChar" w:customStyle="1">
    <w:name w:val="Citação Char"/>
    <w:link w:val="Quote"/>
    <w:qFormat/>
    <w:rsid w:val="00b0482c"/>
    <w:rPr>
      <w:rFonts w:ascii="Arial" w:hAnsi="Arial" w:eastAsia="Calibri" w:cs="Tahoma"/>
      <w:i/>
      <w:iCs/>
      <w:color w:val="000000"/>
      <w:szCs w:val="24"/>
      <w:shd w:fill="FFFFCC" w:val="clear"/>
    </w:rPr>
  </w:style>
  <w:style w:type="character" w:styleId="NotaexplicativaChar" w:customStyle="1">
    <w:name w:val="Nota explicativa Char"/>
    <w:basedOn w:val="CitaoChar"/>
    <w:link w:val="Notaexplicativa"/>
    <w:qFormat/>
    <w:rsid w:val="00b0482c"/>
    <w:rPr>
      <w:rFonts w:ascii="Arial" w:hAnsi="Arial" w:eastAsia="Calibri" w:cs="Tahoma"/>
      <w:i/>
      <w:iCs/>
      <w:color w:val="000000"/>
      <w:szCs w:val="24"/>
      <w:shd w:fill="FFFFCC" w:val="clear"/>
    </w:rPr>
  </w:style>
  <w:style w:type="character" w:styleId="CabealhoChar" w:customStyle="1">
    <w:name w:val="Cabeçalho Char"/>
    <w:qFormat/>
    <w:rsid w:val="00b0482c"/>
    <w:rPr>
      <w:rFonts w:ascii="Ecofont_Spranq_eco_Sans" w:hAnsi="Ecofont_Spranq_eco_Sans" w:cs="Tahoma"/>
      <w:sz w:val="24"/>
      <w:szCs w:val="24"/>
    </w:rPr>
  </w:style>
  <w:style w:type="character" w:styleId="RodapChar" w:customStyle="1">
    <w:name w:val="Rodapé Char"/>
    <w:qFormat/>
    <w:rsid w:val="00b0482c"/>
    <w:rPr>
      <w:rFonts w:ascii="Ecofont_Spranq_eco_Sans" w:hAnsi="Ecofont_Spranq_eco_Sans" w:cs="Tahoma"/>
      <w:sz w:val="24"/>
      <w:szCs w:val="24"/>
    </w:rPr>
  </w:style>
  <w:style w:type="character" w:styleId="Annotationreference">
    <w:name w:val="annotation reference"/>
    <w:basedOn w:val="DefaultParagraphFont"/>
    <w:qFormat/>
    <w:rsid w:val="00b0482c"/>
    <w:rPr>
      <w:sz w:val="16"/>
      <w:szCs w:val="16"/>
    </w:rPr>
  </w:style>
  <w:style w:type="character" w:styleId="TextodecomentrioChar" w:customStyle="1">
    <w:name w:val="Texto de comentário Char"/>
    <w:basedOn w:val="DefaultParagraphFont"/>
    <w:link w:val="Annotationtext"/>
    <w:qFormat/>
    <w:rsid w:val="00b0482c"/>
    <w:rPr>
      <w:rFonts w:ascii="Ecofont_Spranq_eco_Sans" w:hAnsi="Ecofont_Spranq_eco_Sans" w:cs="Tahoma"/>
      <w:lang w:eastAsia="pt-BR"/>
    </w:rPr>
  </w:style>
  <w:style w:type="character" w:styleId="AssuntodocomentrioChar" w:customStyle="1">
    <w:name w:val="Assunto do comentário Char"/>
    <w:basedOn w:val="TextodecomentrioChar"/>
    <w:link w:val="Annotationsubject"/>
    <w:qFormat/>
    <w:rsid w:val="00b0482c"/>
    <w:rPr>
      <w:rFonts w:ascii="Ecofont_Spranq_eco_Sans" w:hAnsi="Ecofont_Spranq_eco_Sans" w:cs="Tahoma"/>
      <w:b/>
      <w:bCs/>
      <w:lang w:eastAsia="pt-BR"/>
    </w:rPr>
  </w:style>
  <w:style w:type="character" w:styleId="Ttulo4Char" w:customStyle="1">
    <w:name w:val="Título 4 Char"/>
    <w:basedOn w:val="DefaultParagraphFont"/>
    <w:qFormat/>
    <w:rsid w:val="00b0482c"/>
    <w:rPr>
      <w:rFonts w:ascii="Calibri" w:hAnsi="Calibri" w:eastAsia="Segoe UI" w:cs="Times New Roman"/>
      <w:i/>
      <w:iCs/>
      <w:color w:themeColor="accent1" w:themeShade="bf" w:val="365F91"/>
      <w:sz w:val="24"/>
      <w:szCs w:val="24"/>
      <w:lang w:eastAsia="pt-BR"/>
    </w:rPr>
  </w:style>
  <w:style w:type="character" w:styleId="TtuloChar" w:customStyle="1">
    <w:name w:val="Título Char"/>
    <w:basedOn w:val="DefaultParagraphFont"/>
    <w:qFormat/>
    <w:rsid w:val="00b0482c"/>
    <w:rPr>
      <w:rFonts w:ascii="Calibri" w:hAnsi="Calibri" w:eastAsia="Segoe UI" w:cs="Times New Roman"/>
      <w:color w:themeColor="dark2" w:themeShade="bf" w:val="17365D"/>
      <w:spacing w:val="5"/>
      <w:kern w:val="2"/>
      <w:sz w:val="52"/>
      <w:szCs w:val="52"/>
      <w:lang w:eastAsia="pt-BR"/>
    </w:rPr>
  </w:style>
  <w:style w:type="character" w:styleId="Nivel01Char" w:customStyle="1">
    <w:name w:val="Nivel 01 Char"/>
    <w:basedOn w:val="TtuloChar"/>
    <w:link w:val="Nivel01"/>
    <w:qFormat/>
    <w:rsid w:val="00e52e66"/>
    <w:rPr>
      <w:rFonts w:cs="Arial"/>
      <w:b/>
      <w:bCs/>
      <w:color w:themeColor="accent1" w:themeShade="bf" w:val="365F91"/>
      <w:sz w:val="24"/>
      <w:szCs w:val="24"/>
    </w:rPr>
  </w:style>
  <w:style w:type="character" w:styleId="Ttulo1Char" w:customStyle="1">
    <w:name w:val="Título 1 Char"/>
    <w:basedOn w:val="DefaultParagraphFont"/>
    <w:qFormat/>
    <w:rsid w:val="00b0482c"/>
    <w:rPr>
      <w:rFonts w:ascii="Calibri" w:hAnsi="Calibri" w:eastAsia="Segoe UI" w:cs="Times New Roman"/>
      <w:b/>
      <w:bCs/>
      <w:color w:themeColor="accent1" w:themeShade="bf" w:val="365F91"/>
      <w:sz w:val="28"/>
      <w:szCs w:val="28"/>
      <w:lang w:eastAsia="pt-BR"/>
    </w:rPr>
  </w:style>
  <w:style w:type="character" w:styleId="Nivel01TituloChar" w:customStyle="1">
    <w:name w:val="Nivel_01_Titulo Char"/>
    <w:basedOn w:val="Nivel01Char"/>
    <w:link w:val="Nivel01Titulo"/>
    <w:qFormat/>
    <w:rsid w:val="00b0482c"/>
    <w:rPr>
      <w:color w:themeColor="dark1" w:val="000000"/>
      <w:spacing w:val="5"/>
      <w:kern w:val="2"/>
      <w:sz w:val="52"/>
      <w:szCs w:val="52"/>
    </w:rPr>
  </w:style>
  <w:style w:type="character" w:styleId="QuoteChar" w:customStyle="1">
    <w:name w:val="Quote Char"/>
    <w:basedOn w:val="DefaultParagraphFont"/>
    <w:link w:val="Citao1"/>
    <w:qFormat/>
    <w:rsid w:val="00b0482c"/>
    <w:rPr>
      <w:rFonts w:ascii="Ecofont_Spranq_eco_Sans" w:hAnsi="Ecofont_Spranq_eco_Sans" w:eastAsia="Calibri" w:cs="Tahoma"/>
      <w:i/>
      <w:iCs/>
      <w:color w:val="000000"/>
      <w:shd w:fill="FFFFCC" w:val="clear"/>
    </w:rPr>
  </w:style>
  <w:style w:type="character" w:styleId="Normaltextrun" w:customStyle="1">
    <w:name w:val="normaltextrun"/>
    <w:basedOn w:val="DefaultParagraphFont"/>
    <w:qFormat/>
    <w:rsid w:val="00b0482c"/>
    <w:rPr/>
  </w:style>
  <w:style w:type="character" w:styleId="Eop" w:customStyle="1">
    <w:name w:val="eop"/>
    <w:basedOn w:val="DefaultParagraphFont"/>
    <w:qFormat/>
    <w:rsid w:val="00b0482c"/>
    <w:rPr/>
  </w:style>
  <w:style w:type="character" w:styleId="Spellingerror" w:customStyle="1">
    <w:name w:val="spellingerror"/>
    <w:basedOn w:val="DefaultParagraphFont"/>
    <w:qFormat/>
    <w:rsid w:val="00b0482c"/>
    <w:rPr/>
  </w:style>
  <w:style w:type="character" w:styleId="CorpodetextoChar" w:customStyle="1">
    <w:name w:val="Corpo de texto Char"/>
    <w:basedOn w:val="DefaultParagraphFont"/>
    <w:qFormat/>
    <w:rsid w:val="00b0482c"/>
    <w:rPr>
      <w:rFonts w:eastAsia="Times New Roman"/>
      <w:sz w:val="24"/>
      <w:szCs w:val="24"/>
      <w:lang w:eastAsia="pt-BR"/>
    </w:rPr>
  </w:style>
  <w:style w:type="character" w:styleId="Nivel1Char" w:customStyle="1">
    <w:name w:val="Nivel1 Char"/>
    <w:basedOn w:val="Ttulo1Char"/>
    <w:link w:val="Nivel1"/>
    <w:qFormat/>
    <w:rsid w:val="00b0482c"/>
    <w:rPr>
      <w:rFonts w:ascii="Arial" w:hAnsi="Arial" w:eastAsia="Segoe UI" w:cs="Arial"/>
      <w:b/>
      <w:bCs w:val="false"/>
      <w:color w:themeColor="accent1" w:themeShade="bf" w:val="365F91"/>
      <w:sz w:val="28"/>
      <w:szCs w:val="28"/>
      <w:lang w:eastAsia="pt-BR"/>
    </w:rPr>
  </w:style>
  <w:style w:type="character" w:styleId="Nivel4Char" w:customStyle="1">
    <w:name w:val="Nivel 4 Char"/>
    <w:basedOn w:val="DefaultParagraphFont"/>
    <w:link w:val="Nivel4"/>
    <w:qFormat/>
    <w:rsid w:val="00b0482c"/>
    <w:rPr>
      <w:rFonts w:ascii="Arial" w:hAnsi="Arial" w:cs="Arial"/>
      <w:lang w:eastAsia="pt-BR"/>
    </w:rPr>
  </w:style>
  <w:style w:type="character" w:styleId="Cp0020corpodespachochar1" w:customStyle="1">
    <w:name w:val="cp_0020corpodespacho__char1"/>
    <w:qFormat/>
    <w:rsid w:val="00b0482c"/>
    <w:rPr>
      <w:rFonts w:ascii="Times New Roman" w:hAnsi="Times New Roman" w:cs="Times New Roman"/>
      <w:strike w:val="false"/>
      <w:dstrike w:val="false"/>
      <w:sz w:val="26"/>
      <w:szCs w:val="26"/>
      <w:u w:val="none"/>
      <w:effect w:val="none"/>
    </w:rPr>
  </w:style>
  <w:style w:type="character" w:styleId="Em0020ementachar1" w:customStyle="1">
    <w:name w:val="em_0020ementa__char1"/>
    <w:qFormat/>
    <w:rsid w:val="00b0482c"/>
    <w:rPr>
      <w:rFonts w:ascii="Times New Roman" w:hAnsi="Times New Roman" w:cs="Times New Roman"/>
      <w:strike w:val="false"/>
      <w:dstrike w:val="false"/>
      <w:sz w:val="28"/>
      <w:szCs w:val="28"/>
      <w:u w:val="none"/>
      <w:effect w:val="none"/>
    </w:rPr>
  </w:style>
  <w:style w:type="character" w:styleId="Strong">
    <w:name w:val="Strong"/>
    <w:basedOn w:val="DefaultParagraphFont"/>
    <w:qFormat/>
    <w:rsid w:val="00b0482c"/>
    <w:rPr>
      <w:b/>
      <w:bCs/>
    </w:rPr>
  </w:style>
  <w:style w:type="character" w:styleId="Emphasis">
    <w:name w:val="Emphasis"/>
    <w:basedOn w:val="DefaultParagraphFont"/>
    <w:qFormat/>
    <w:rsid w:val="00b0482c"/>
    <w:rPr>
      <w:i/>
      <w:iCs/>
    </w:rPr>
  </w:style>
  <w:style w:type="character" w:styleId="Manoel" w:customStyle="1">
    <w:name w:val="Manoel"/>
    <w:qFormat/>
    <w:rsid w:val="00b0482c"/>
    <w:rPr>
      <w:rFonts w:ascii="Arial" w:hAnsi="Arial" w:cs="Arial"/>
      <w:color w:val="7030A0"/>
      <w:sz w:val="20"/>
    </w:rPr>
  </w:style>
  <w:style w:type="character" w:styleId="GradeColorida-nfase1Char" w:customStyle="1">
    <w:name w:val="Grade Colorida - Ênfase 1 Char"/>
    <w:link w:val="GradeColorida-nfase11"/>
    <w:qFormat/>
    <w:rsid w:val="00b0482c"/>
    <w:rPr>
      <w:rFonts w:ascii="Arial" w:hAnsi="Arial" w:eastAsia="Calibri"/>
      <w:i/>
      <w:iCs/>
      <w:color w:val="000000"/>
      <w:szCs w:val="24"/>
      <w:shd w:fill="FFFFCC" w:val="clear"/>
    </w:rPr>
  </w:style>
  <w:style w:type="character" w:styleId="Highlight" w:customStyle="1">
    <w:name w:val="highlight"/>
    <w:basedOn w:val="DefaultParagraphFont"/>
    <w:qFormat/>
    <w:rsid w:val="00b0482c"/>
    <w:rPr/>
  </w:style>
  <w:style w:type="character" w:styleId="FollowedHyperlink">
    <w:name w:val="FollowedHyperlink"/>
    <w:basedOn w:val="DefaultParagraphFont"/>
    <w:rsid w:val="00b0482c"/>
    <w:rPr>
      <w:color w:themeColor="followedHyperlink" w:val="800080"/>
      <w:u w:val="single"/>
    </w:rPr>
  </w:style>
  <w:style w:type="character" w:styleId="MenoPendente1" w:customStyle="1">
    <w:name w:val="Menção Pendente1"/>
    <w:basedOn w:val="DefaultParagraphFont"/>
    <w:qFormat/>
    <w:rsid w:val="00b0482c"/>
    <w:rPr>
      <w:color w:val="605E5C"/>
      <w:shd w:fill="E1DFDD" w:val="clear"/>
    </w:rPr>
  </w:style>
  <w:style w:type="character" w:styleId="MenoPendente2" w:customStyle="1">
    <w:name w:val="Menção Pendente2"/>
    <w:basedOn w:val="DefaultParagraphFont"/>
    <w:qFormat/>
    <w:rsid w:val="00b0482c"/>
    <w:rPr>
      <w:color w:val="605E5C"/>
      <w:shd w:fill="E1DFDD" w:val="clear"/>
    </w:rPr>
  </w:style>
  <w:style w:type="character" w:styleId="Nivel2Char" w:customStyle="1">
    <w:name w:val="Nivel 2 Char"/>
    <w:basedOn w:val="DefaultParagraphFont"/>
    <w:link w:val="Nivel2"/>
    <w:qFormat/>
    <w:rsid w:val="00b0482c"/>
    <w:rPr>
      <w:rFonts w:ascii="Arial" w:hAnsi="Arial" w:eastAsia="Arial" w:cs="Arial"/>
      <w:color w:val="000000"/>
      <w:lang w:eastAsia="pt-BR"/>
    </w:rPr>
  </w:style>
  <w:style w:type="character" w:styleId="Nvel2OpcionalChar" w:customStyle="1">
    <w:name w:val="Nível 2 Opcional Char"/>
    <w:basedOn w:val="DefaultParagraphFont"/>
    <w:link w:val="Nvel2Opcional"/>
    <w:qFormat/>
    <w:rsid w:val="00b0482c"/>
    <w:rPr>
      <w:rFonts w:ascii="Arial" w:hAnsi="Arial" w:eastAsia="Times New Roman" w:cs="Arial"/>
      <w:i/>
      <w:color w:val="FF0000"/>
      <w:lang w:eastAsia="pt-BR"/>
    </w:rPr>
  </w:style>
  <w:style w:type="character" w:styleId="Nvel3OpcionalChar" w:customStyle="1">
    <w:name w:val="Nível 3 Opcional Char"/>
    <w:basedOn w:val="DefaultParagraphFont"/>
    <w:link w:val="Nvel3Opcional"/>
    <w:qFormat/>
    <w:rsid w:val="00b0482c"/>
    <w:rPr>
      <w:rFonts w:ascii="Arial" w:hAnsi="Arial" w:eastAsia="Times New Roman" w:cs="Arial"/>
      <w:i/>
      <w:iCs/>
      <w:color w:val="FF0000"/>
      <w:lang w:eastAsia="pt-BR"/>
    </w:rPr>
  </w:style>
  <w:style w:type="character" w:styleId="PlaceholderText">
    <w:name w:val="Placeholder Text"/>
    <w:basedOn w:val="DefaultParagraphFont"/>
    <w:qFormat/>
    <w:rsid w:val="00b0482c"/>
    <w:rPr>
      <w:color w:val="808080"/>
    </w:rPr>
  </w:style>
  <w:style w:type="character" w:styleId="PargrafodaListaChar" w:customStyle="1">
    <w:name w:val="Parágrafo da Lista Char"/>
    <w:basedOn w:val="DefaultParagraphFont"/>
    <w:link w:val="ListParagraph"/>
    <w:qFormat/>
    <w:rsid w:val="00b0482c"/>
    <w:rPr>
      <w:rFonts w:ascii="Ecofont_Spranq_eco_Sans" w:hAnsi="Ecofont_Spranq_eco_Sans" w:cs="Tahoma"/>
      <w:sz w:val="24"/>
      <w:szCs w:val="24"/>
      <w:lang w:eastAsia="pt-BR"/>
    </w:rPr>
  </w:style>
  <w:style w:type="character" w:styleId="Ttulo3Char" w:customStyle="1">
    <w:name w:val="Título 3 Char"/>
    <w:basedOn w:val="DefaultParagraphFont"/>
    <w:qFormat/>
    <w:rsid w:val="00b0482c"/>
    <w:rPr>
      <w:rFonts w:ascii="Calibri" w:hAnsi="Calibri" w:eastAsia="Segoe UI" w:cs="Times New Roman"/>
      <w:color w:themeColor="accent1" w:themeShade="7f" w:val="243F60"/>
      <w:sz w:val="24"/>
      <w:szCs w:val="24"/>
    </w:rPr>
  </w:style>
  <w:style w:type="character" w:styleId="Ttulo6Char" w:customStyle="1">
    <w:name w:val="Título 6 Char"/>
    <w:basedOn w:val="DefaultParagraphFont"/>
    <w:qFormat/>
    <w:rsid w:val="00b0482c"/>
    <w:rPr>
      <w:rFonts w:ascii="Calibri" w:hAnsi="Calibri" w:eastAsia="Segoe UI" w:cs="Times New Roman"/>
      <w:color w:themeColor="accent1" w:themeShade="7f" w:val="243F60"/>
      <w:sz w:val="22"/>
      <w:szCs w:val="22"/>
    </w:rPr>
  </w:style>
  <w:style w:type="character" w:styleId="Markedcontent" w:customStyle="1">
    <w:name w:val="markedcontent"/>
    <w:basedOn w:val="DefaultParagraphFont"/>
    <w:qFormat/>
    <w:rsid w:val="00b0482c"/>
    <w:rPr/>
  </w:style>
  <w:style w:type="character" w:styleId="MenoPendente3" w:customStyle="1">
    <w:name w:val="Menção Pendente3"/>
    <w:basedOn w:val="DefaultParagraphFont"/>
    <w:qFormat/>
    <w:rsid w:val="00b0482c"/>
    <w:rPr>
      <w:color w:val="605E5C"/>
      <w:shd w:fill="E1DFDD" w:val="clear"/>
    </w:rPr>
  </w:style>
  <w:style w:type="character" w:styleId="MenoPendente4" w:customStyle="1">
    <w:name w:val="Menção Pendente4"/>
    <w:basedOn w:val="DefaultParagraphFont"/>
    <w:qFormat/>
    <w:rsid w:val="00b0482c"/>
    <w:rPr>
      <w:color w:val="605E5C"/>
      <w:shd w:fill="E1DFDD" w:val="clear"/>
    </w:rPr>
  </w:style>
  <w:style w:type="character" w:styleId="OuChar" w:customStyle="1">
    <w:name w:val="ou Char"/>
    <w:basedOn w:val="PargrafodaListaChar"/>
    <w:link w:val="Ou"/>
    <w:qFormat/>
    <w:rsid w:val="00b0482c"/>
    <w:rPr>
      <w:rFonts w:ascii="Arial" w:hAnsi="Arial" w:eastAsia="Cambria" w:cs="Arial"/>
      <w:b/>
      <w:bCs/>
      <w:i/>
      <w:iCs/>
      <w:color w:val="FF0000"/>
      <w:sz w:val="24"/>
      <w:szCs w:val="24"/>
      <w:u w:val="single"/>
      <w:lang w:eastAsia="pt-BR"/>
    </w:rPr>
  </w:style>
  <w:style w:type="character" w:styleId="Nvel2-RedChar" w:customStyle="1">
    <w:name w:val="Nível 2 -Red Char"/>
    <w:basedOn w:val="Nivel2Char"/>
    <w:link w:val="Nvel2-Red"/>
    <w:qFormat/>
    <w:rsid w:val="00b0482c"/>
    <w:rPr>
      <w:i/>
      <w:iCs/>
      <w:color w:val="FF0000"/>
    </w:rPr>
  </w:style>
  <w:style w:type="character" w:styleId="Nivel3Char" w:customStyle="1">
    <w:name w:val="Nivel 3 Char"/>
    <w:basedOn w:val="DefaultParagraphFont"/>
    <w:link w:val="Nivel3"/>
    <w:qFormat/>
    <w:rsid w:val="00b0482c"/>
    <w:rPr>
      <w:rFonts w:ascii="Arial" w:hAnsi="Arial" w:cs="Arial"/>
      <w:color w:val="000000"/>
      <w:lang w:eastAsia="pt-BR"/>
    </w:rPr>
  </w:style>
  <w:style w:type="character" w:styleId="Nvel3-RChar" w:customStyle="1">
    <w:name w:val="Nível 3-R Char"/>
    <w:basedOn w:val="Nivel3Char"/>
    <w:link w:val="Nvel3-R"/>
    <w:qFormat/>
    <w:rsid w:val="00b0482c"/>
    <w:rPr/>
  </w:style>
  <w:style w:type="character" w:styleId="Nvel4-RChar" w:customStyle="1">
    <w:name w:val="Nível 4-R Char"/>
    <w:basedOn w:val="Nivel4Char"/>
    <w:link w:val="Nvel4-R"/>
    <w:qFormat/>
    <w:rsid w:val="00b0482c"/>
    <w:rPr>
      <w:i/>
      <w:iCs/>
      <w:color w:val="FF0000"/>
    </w:rPr>
  </w:style>
  <w:style w:type="character" w:styleId="Nvel1-SemNumChar" w:customStyle="1">
    <w:name w:val="Nível 1-Sem Num Char"/>
    <w:basedOn w:val="Nivel01Char"/>
    <w:link w:val="Nvel1-SemNum"/>
    <w:qFormat/>
    <w:rsid w:val="00b0482c"/>
    <w:rPr>
      <w:rFonts w:ascii="Arial" w:hAnsi="Arial" w:eastAsia="Segoe UI" w:cs="Arial"/>
      <w:b/>
      <w:bCs/>
      <w:color w:themeColor="dark2" w:themeShade="bf" w:val="17365D"/>
      <w:spacing w:val="5"/>
      <w:kern w:val="2"/>
      <w:sz w:val="52"/>
      <w:szCs w:val="52"/>
      <w:lang w:eastAsia="pt-BR"/>
    </w:rPr>
  </w:style>
  <w:style w:type="character" w:styleId="PrembuloChar" w:customStyle="1">
    <w:name w:val="Preâmbulo Char"/>
    <w:basedOn w:val="DefaultParagraphFont"/>
    <w:link w:val="Prembulo"/>
    <w:qFormat/>
    <w:rsid w:val="00b0482c"/>
    <w:rPr>
      <w:rFonts w:ascii="Arial" w:hAnsi="Arial" w:eastAsia="Arial" w:cs="Arial"/>
      <w:bCs/>
      <w:lang w:eastAsia="pt-BR"/>
    </w:rPr>
  </w:style>
  <w:style w:type="character" w:styleId="Mentionnonrsolue1" w:customStyle="1">
    <w:name w:val="Mention non résolue1"/>
    <w:basedOn w:val="DefaultParagraphFont"/>
    <w:qFormat/>
    <w:rsid w:val="00b0482c"/>
    <w:rPr>
      <w:color w:val="605E5C"/>
      <w:shd w:fill="E1DFDD" w:val="clear"/>
    </w:rPr>
  </w:style>
  <w:style w:type="character" w:styleId="Findhit" w:customStyle="1">
    <w:name w:val="findhit"/>
    <w:basedOn w:val="DefaultParagraphFont"/>
    <w:qFormat/>
    <w:rsid w:val="00b0482c"/>
    <w:rPr/>
  </w:style>
  <w:style w:type="character" w:styleId="Nivel3-erroChar" w:customStyle="1">
    <w:name w:val="Nivel 3-erro Char"/>
    <w:basedOn w:val="DefaultParagraphFont"/>
    <w:link w:val="Nivel3-erro"/>
    <w:qFormat/>
    <w:rsid w:val="00b0482c"/>
    <w:rPr>
      <w:rFonts w:ascii="Arial" w:hAnsi="Arial" w:cs="Tahoma"/>
      <w:szCs w:val="24"/>
      <w:lang w:eastAsia="pt-BR"/>
    </w:rPr>
  </w:style>
  <w:style w:type="character" w:styleId="AlteraesChar" w:customStyle="1">
    <w:name w:val="Alterações Char"/>
    <w:basedOn w:val="DefaultParagraphFont"/>
    <w:link w:val="Alteraes"/>
    <w:qFormat/>
    <w:rsid w:val="00b0482c"/>
    <w:rPr>
      <w:rFonts w:ascii="Arial" w:hAnsi="Arial" w:cs="Arial"/>
      <w:i/>
      <w:iCs/>
      <w:color w:val="0000FF"/>
      <w:lang w:eastAsia="pt-BR"/>
    </w:rPr>
  </w:style>
  <w:style w:type="character" w:styleId="Meno1" w:customStyle="1">
    <w:name w:val="Menção1"/>
    <w:basedOn w:val="DefaultParagraphFont"/>
    <w:qFormat/>
    <w:rsid w:val="00b0482c"/>
    <w:rPr>
      <w:color w:val="2B579A"/>
      <w:shd w:fill="E6E6E6" w:val="clear"/>
    </w:rPr>
  </w:style>
  <w:style w:type="character" w:styleId="MenoPendente5" w:customStyle="1">
    <w:name w:val="Menção Pendente5"/>
    <w:basedOn w:val="DefaultParagraphFont"/>
    <w:qFormat/>
    <w:rsid w:val="00b0482c"/>
    <w:rPr>
      <w:color w:val="605E5C"/>
      <w:shd w:fill="E1DFDD" w:val="clear"/>
    </w:rPr>
  </w:style>
  <w:style w:type="character" w:styleId="Nvel1-SemNumPretoChar" w:customStyle="1">
    <w:name w:val="Nível 1-Sem Num Preto Char"/>
    <w:basedOn w:val="Nvel1-SemNumChar"/>
    <w:link w:val="Nvel1-SemNumPreto"/>
    <w:qFormat/>
    <w:rsid w:val="00b0482c"/>
    <w:rPr>
      <w:rFonts w:ascii="Arial" w:hAnsi="Arial" w:eastAsia="Segoe UI" w:cs="Arial"/>
      <w:b/>
      <w:bCs/>
      <w:color w:themeColor="dark2" w:themeShade="bf" w:val="17365D"/>
      <w:spacing w:val="5"/>
      <w:kern w:val="2"/>
      <w:sz w:val="52"/>
      <w:szCs w:val="52"/>
      <w:lang w:eastAsia="zh-CN" w:bidi="hi-IN"/>
    </w:rPr>
  </w:style>
  <w:style w:type="character" w:styleId="RodapChar3">
    <w:name w:val="Rodapé Char3"/>
    <w:basedOn w:val="DefaultParagraphFont"/>
    <w:qFormat/>
    <w:rPr>
      <w:rFonts w:ascii="Arial" w:hAnsi="Arial" w:eastAsia="Times New Roman"/>
      <w:sz w:val="20"/>
      <w:szCs w:val="24"/>
      <w:lang w:eastAsia="pt-BR"/>
    </w:rPr>
  </w:style>
  <w:style w:type="character" w:styleId="CabealhoChar3">
    <w:name w:val="Cabeçalho Char3"/>
    <w:basedOn w:val="DefaultParagraphFont"/>
    <w:qFormat/>
    <w:rPr>
      <w:rFonts w:ascii="Arial" w:hAnsi="Arial" w:eastAsia="Times New Roman"/>
      <w:sz w:val="20"/>
      <w:szCs w:val="24"/>
      <w:lang w:eastAsia="pt-BR"/>
    </w:rPr>
  </w:style>
  <w:style w:type="character" w:styleId="Smbolosdenumerao">
    <w:name w:val="Símbolos de numeração"/>
    <w:qFormat/>
    <w:rPr/>
  </w:style>
  <w:style w:type="character" w:styleId="RodapChar2">
    <w:name w:val="Rodapé Char2"/>
    <w:basedOn w:val="DefaultParagraphFont"/>
    <w:qFormat/>
    <w:rPr>
      <w:rFonts w:ascii="Arial" w:hAnsi="Arial" w:eastAsia="Times New Roman"/>
      <w:sz w:val="20"/>
      <w:szCs w:val="24"/>
      <w:lang w:eastAsia="pt-BR"/>
    </w:rPr>
  </w:style>
  <w:style w:type="character" w:styleId="CabealhoChar2">
    <w:name w:val="Cabeçalho Char2"/>
    <w:basedOn w:val="DefaultParagraphFont"/>
    <w:qFormat/>
    <w:rPr>
      <w:rFonts w:ascii="Arial" w:hAnsi="Arial" w:eastAsia="Times New Roman"/>
      <w:sz w:val="20"/>
      <w:szCs w:val="24"/>
      <w:lang w:eastAsia="pt-BR"/>
    </w:rPr>
  </w:style>
  <w:style w:type="character" w:styleId="Vnculodendice">
    <w:name w:val="Vínculo de índice"/>
    <w:qFormat/>
    <w:rPr/>
  </w:style>
  <w:style w:type="character" w:styleId="UnresolvedMention">
    <w:name w:val="Unresolved Mention"/>
    <w:basedOn w:val="DefaultParagraphFont"/>
    <w:qFormat/>
    <w:rPr>
      <w:color w:val="605E5C"/>
      <w:shd w:fill="E1DFDD" w:val="clear"/>
    </w:rPr>
  </w:style>
  <w:style w:type="character" w:styleId="Estilo1">
    <w:name w:val="Estilo1"/>
    <w:basedOn w:val="DefaultParagraphFont"/>
    <w:qFormat/>
    <w:rPr>
      <w:rFonts w:ascii="Arial" w:hAnsi="Arial"/>
      <w:b/>
      <w:color w:themeColor="accent6" w:themeShade="bf" w:val="538135"/>
      <w:sz w:val="24"/>
    </w:rPr>
  </w:style>
  <w:style w:type="character" w:styleId="Cf01">
    <w:name w:val="cf01"/>
    <w:basedOn w:val="DefaultParagraphFont"/>
    <w:qFormat/>
    <w:rPr>
      <w:rFonts w:ascii="Segoe UI" w:hAnsi="Segoe UI" w:cs="Segoe UI"/>
      <w:color w:val="555555"/>
      <w:sz w:val="18"/>
      <w:szCs w:val="18"/>
      <w:shd w:fill="FFFFFF" w:val="clear"/>
    </w:rPr>
  </w:style>
  <w:style w:type="character" w:styleId="RodapChar1">
    <w:name w:val="Rodapé Char1"/>
    <w:basedOn w:val="DefaultParagraphFont"/>
    <w:qFormat/>
    <w:rPr>
      <w:rFonts w:ascii="Arial" w:hAnsi="Arial" w:eastAsia="Times New Roman" w:cs="Tahoma"/>
      <w:sz w:val="20"/>
      <w:szCs w:val="24"/>
      <w:lang w:eastAsia="pt-BR"/>
    </w:rPr>
  </w:style>
  <w:style w:type="character" w:styleId="CabealhoChar1">
    <w:name w:val="Cabeçalho Char1"/>
    <w:basedOn w:val="DefaultParagraphFont"/>
    <w:qFormat/>
    <w:rPr>
      <w:rFonts w:ascii="Arial" w:hAnsi="Arial" w:eastAsia="Times New Roman" w:cs="Tahoma"/>
      <w:sz w:val="20"/>
      <w:szCs w:val="24"/>
      <w:lang w:eastAsia="pt-BR"/>
    </w:rPr>
  </w:style>
  <w:style w:type="character" w:styleId="TextodebaloChar1">
    <w:name w:val="Texto de balão Char1"/>
    <w:basedOn w:val="DefaultParagraphFont"/>
    <w:qFormat/>
    <w:rPr>
      <w:rFonts w:ascii="Segoe UI" w:hAnsi="Segoe UI" w:eastAsia="Times New Roman" w:cs="Segoe UI"/>
      <w:sz w:val="18"/>
      <w:szCs w:val="18"/>
      <w:lang w:eastAsia="pt-BR"/>
    </w:rPr>
  </w:style>
  <w:style w:type="character" w:styleId="AssuntodocomentrioChar1">
    <w:name w:val="Assunto do comentário Char1"/>
    <w:basedOn w:val="TextodecomentrioChar1"/>
    <w:qFormat/>
    <w:rPr>
      <w:rFonts w:ascii="Arial" w:hAnsi="Arial" w:eastAsia="Times New Roman" w:cs="Tahoma"/>
      <w:b/>
      <w:bCs/>
      <w:sz w:val="20"/>
      <w:szCs w:val="20"/>
      <w:lang w:eastAsia="pt-BR"/>
    </w:rPr>
  </w:style>
  <w:style w:type="character" w:styleId="TextodecomentrioChar1">
    <w:name w:val="Texto de comentário Char1"/>
    <w:basedOn w:val="DefaultParagraphFont"/>
    <w:qFormat/>
    <w:rPr>
      <w:rFonts w:ascii="Arial" w:hAnsi="Arial" w:eastAsia="Times New Roman" w:cs="Tahoma"/>
      <w:sz w:val="20"/>
      <w:szCs w:val="20"/>
      <w:lang w:eastAsia="pt-BR"/>
    </w:rPr>
  </w:style>
  <w:style w:type="character" w:styleId="CitaoChar1">
    <w:name w:val="Citação Char1"/>
    <w:basedOn w:val="DefaultParagraphFont"/>
    <w:qFormat/>
    <w:rPr>
      <w:rFonts w:ascii="Arial" w:hAnsi="Arial" w:eastAsia="Times New Roman" w:cs="Tahoma"/>
      <w:i/>
      <w:iCs/>
      <w:color w:themeColor="dark1" w:themeTint="bf" w:val="404040"/>
      <w:sz w:val="20"/>
      <w:szCs w:val="24"/>
      <w:lang w:eastAsia="pt-BR"/>
    </w:rPr>
  </w:style>
  <w:style w:type="character" w:styleId="Citao2Char">
    <w:name w:val="citação 2 Char"/>
    <w:basedOn w:val="CitaoChar"/>
    <w:qFormat/>
    <w:rPr>
      <w:rFonts w:ascii="Arial" w:hAnsi="Arial" w:eastAsia="Calibri" w:cs="Tahoma"/>
      <w:i/>
      <w:iCs/>
      <w:color w:val="000000"/>
      <w:sz w:val="20"/>
      <w:szCs w:val="20"/>
      <w:shd w:fill="FFFFCC" w:val="clear"/>
    </w:rPr>
  </w:style>
  <w:style w:type="character" w:styleId="Caracteresdenotaderodap">
    <w:name w:val="Caracteres de nota de rodapé"/>
    <w:qFormat/>
    <w:rPr/>
  </w:style>
  <w:style w:type="character" w:styleId="Caracteresdenotadefim">
    <w:name w:val="Caracteres de nota de fim"/>
    <w:qFormat/>
    <w:rPr/>
  </w:style>
  <w:style w:type="paragraph" w:styleId="Ttulo">
    <w:name w:val="Título"/>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link w:val="CorpodetextoChar"/>
    <w:rsid w:val="00b0482c"/>
    <w:pPr>
      <w:spacing w:before="280" w:after="280"/>
    </w:pPr>
    <w:rPr>
      <w:rFonts w:ascii="Times New Roman" w:hAnsi="Times New Roman" w:eastAsia="Times New Roman" w:cs="Times New Roman"/>
    </w:rPr>
  </w:style>
  <w:style w:type="paragraph" w:styleId="List">
    <w:name w:val="List"/>
    <w:basedOn w:val="BodyText"/>
    <w:rsid w:val="00b0482c"/>
    <w:pPr/>
    <w:rPr>
      <w:rFonts w:cs="Arial"/>
    </w:rPr>
  </w:style>
  <w:style w:type="paragraph" w:styleId="Caption" w:customStyle="1">
    <w:name w:val="Caption"/>
    <w:basedOn w:val="Normal"/>
    <w:qFormat/>
    <w:rsid w:val="00b0482c"/>
    <w:pPr>
      <w:suppressLineNumbers/>
      <w:spacing w:before="120" w:after="120"/>
    </w:pPr>
    <w:rPr>
      <w:rFonts w:cs="Arial"/>
      <w:i/>
      <w:iCs/>
    </w:rPr>
  </w:style>
  <w:style w:type="paragraph" w:styleId="Ndice" w:customStyle="1">
    <w:name w:val="Índice"/>
    <w:basedOn w:val="Normal"/>
    <w:qFormat/>
    <w:rsid w:val="00b0482c"/>
    <w:pPr>
      <w:suppressLineNumbers/>
    </w:pPr>
    <w:rPr>
      <w:rFonts w:cs="Arial"/>
    </w:rPr>
  </w:style>
  <w:style w:type="paragraph" w:styleId="Title">
    <w:name w:val="Title"/>
    <w:basedOn w:val="Normal"/>
    <w:next w:val="BodyText"/>
    <w:link w:val="TtuloChar"/>
    <w:qFormat/>
    <w:rsid w:val="00b0482c"/>
    <w:pPr>
      <w:pBdr>
        <w:bottom w:val="single" w:sz="8" w:space="4" w:color="4F81BD"/>
      </w:pBdr>
      <w:spacing w:before="0" w:after="300"/>
      <w:contextualSpacing/>
    </w:pPr>
    <w:rPr>
      <w:rFonts w:ascii="Calibri" w:hAnsi="Calibri" w:cs="Times New Roman"/>
      <w:color w:themeColor="dark2" w:themeShade="bf" w:val="17365D"/>
      <w:spacing w:val="5"/>
      <w:kern w:val="2"/>
      <w:sz w:val="52"/>
      <w:szCs w:val="52"/>
    </w:rPr>
  </w:style>
  <w:style w:type="paragraph" w:styleId="ListParagraph">
    <w:name w:val="List Paragraph"/>
    <w:basedOn w:val="Normal"/>
    <w:link w:val="PargrafodaListaChar"/>
    <w:qFormat/>
    <w:rsid w:val="00b0482c"/>
    <w:pPr>
      <w:spacing w:before="0" w:after="0"/>
      <w:ind w:left="720"/>
      <w:contextualSpacing/>
    </w:pPr>
    <w:rPr/>
  </w:style>
  <w:style w:type="paragraph" w:styleId="NormalWeb">
    <w:name w:val="Normal (Web)"/>
    <w:basedOn w:val="Normal"/>
    <w:qFormat/>
    <w:rsid w:val="00b0482c"/>
    <w:pPr>
      <w:spacing w:before="280" w:after="280"/>
    </w:pPr>
    <w:rPr>
      <w:rFonts w:ascii="Times New Roman" w:hAnsi="Times New Roman" w:cs="Times New Roman"/>
    </w:rPr>
  </w:style>
  <w:style w:type="paragraph" w:styleId="BalloonText">
    <w:name w:val="Balloon Text"/>
    <w:basedOn w:val="Normal"/>
    <w:link w:val="TextodebaloChar"/>
    <w:qFormat/>
    <w:rsid w:val="00b0482c"/>
    <w:pPr/>
    <w:rPr>
      <w:rFonts w:ascii="Tahoma" w:hAnsi="Tahoma"/>
      <w:sz w:val="16"/>
      <w:szCs w:val="16"/>
    </w:rPr>
  </w:style>
  <w:style w:type="paragraph" w:styleId="Nvel2" w:customStyle="1">
    <w:name w:val="Nível 2"/>
    <w:basedOn w:val="Normal"/>
    <w:next w:val="Normal"/>
    <w:qFormat/>
    <w:rsid w:val="00b0482c"/>
    <w:pPr>
      <w:spacing w:before="0" w:after="120"/>
      <w:jc w:val="both"/>
    </w:pPr>
    <w:rPr>
      <w:rFonts w:ascii="Arial" w:hAnsi="Arial" w:cs="Times New Roman"/>
      <w:b/>
      <w:szCs w:val="20"/>
    </w:rPr>
  </w:style>
  <w:style w:type="paragraph" w:styleId="Quote">
    <w:name w:val="Quote"/>
    <w:basedOn w:val="Normal"/>
    <w:next w:val="Normal"/>
    <w:link w:val="CitaoChar"/>
    <w:qFormat/>
    <w:rsid w:val="00b0482c"/>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i/>
      <w:iCs/>
      <w:color w:val="000000"/>
      <w:sz w:val="20"/>
      <w:lang w:eastAsia="en-US"/>
    </w:rPr>
  </w:style>
  <w:style w:type="paragraph" w:styleId="ListBullet5">
    <w:name w:val="List Bullet 5"/>
    <w:basedOn w:val="Normal"/>
    <w:rsid w:val="00b0482c"/>
    <w:pPr>
      <w:numPr>
        <w:ilvl w:val="0"/>
        <w:numId w:val="3"/>
      </w:numPr>
      <w:spacing w:before="0" w:after="0"/>
      <w:contextualSpacing/>
    </w:pPr>
    <w:rPr/>
  </w:style>
  <w:style w:type="paragraph" w:styleId="Notaexplicativa" w:customStyle="1">
    <w:name w:val="Nota explicativa"/>
    <w:basedOn w:val="Quote"/>
    <w:link w:val="NotaexplicativaChar"/>
    <w:qFormat/>
    <w:rsid w:val="00b0482c"/>
    <w:pPr/>
    <w:rPr>
      <w:szCs w:val="20"/>
    </w:rPr>
  </w:style>
  <w:style w:type="paragraph" w:styleId="CabealhoeRodap" w:customStyle="1">
    <w:name w:val="Cabeçalho e Rodapé"/>
    <w:basedOn w:val="Normal"/>
    <w:qFormat/>
    <w:rsid w:val="00b0482c"/>
    <w:pPr/>
    <w:rPr/>
  </w:style>
  <w:style w:type="paragraph" w:styleId="Header" w:customStyle="1">
    <w:name w:val="Header"/>
    <w:basedOn w:val="Normal"/>
    <w:link w:val="CabealhoChar"/>
    <w:rsid w:val="00b0482c"/>
    <w:pPr>
      <w:tabs>
        <w:tab w:val="clear" w:pos="708"/>
        <w:tab w:val="center" w:pos="4252" w:leader="none"/>
        <w:tab w:val="right" w:pos="8504" w:leader="none"/>
      </w:tabs>
    </w:pPr>
    <w:rPr/>
  </w:style>
  <w:style w:type="paragraph" w:styleId="Footer" w:customStyle="1">
    <w:name w:val="Footer"/>
    <w:basedOn w:val="Normal"/>
    <w:link w:val="RodapChar"/>
    <w:rsid w:val="00b0482c"/>
    <w:pPr>
      <w:tabs>
        <w:tab w:val="clear" w:pos="708"/>
        <w:tab w:val="center" w:pos="4252" w:leader="none"/>
        <w:tab w:val="right" w:pos="8504" w:leader="none"/>
      </w:tabs>
    </w:pPr>
    <w:rPr/>
  </w:style>
  <w:style w:type="paragraph" w:styleId="Annotationtext">
    <w:name w:val="annotation text"/>
    <w:basedOn w:val="Normal"/>
    <w:link w:val="TextodecomentrioChar"/>
    <w:qFormat/>
    <w:rsid w:val="00b0482c"/>
    <w:pPr/>
    <w:rPr>
      <w:sz w:val="20"/>
      <w:szCs w:val="20"/>
    </w:rPr>
  </w:style>
  <w:style w:type="paragraph" w:styleId="Annotationsubject">
    <w:name w:val="annotation subject"/>
    <w:basedOn w:val="Annotationtext"/>
    <w:next w:val="Annotationtext"/>
    <w:link w:val="AssuntodocomentrioChar"/>
    <w:qFormat/>
    <w:rsid w:val="00b0482c"/>
    <w:pPr/>
    <w:rPr>
      <w:b/>
      <w:bCs/>
    </w:rPr>
  </w:style>
  <w:style w:type="paragraph" w:styleId="Nivel01" w:customStyle="1">
    <w:name w:val="Nivel 01"/>
    <w:basedOn w:val="Heading1"/>
    <w:next w:val="Normal"/>
    <w:link w:val="Nivel01Char"/>
    <w:autoRedefine/>
    <w:qFormat/>
    <w:rsid w:val="00e52e66"/>
    <w:pPr>
      <w:keepNext w:val="true"/>
      <w:keepLines/>
      <w:widowControl/>
      <w:numPr>
        <w:ilvl w:val="1"/>
        <w:numId w:val="141"/>
      </w:numPr>
      <w:tabs>
        <w:tab w:val="clear" w:pos="708"/>
        <w:tab w:val="left" w:pos="567" w:leader="none"/>
      </w:tabs>
      <w:suppressAutoHyphens w:val="true"/>
      <w:overflowPunct w:val="true"/>
      <w:bidi w:val="0"/>
      <w:spacing w:lineRule="auto" w:line="276" w:before="240" w:after="120"/>
      <w:ind w:hanging="0" w:left="0" w:right="0"/>
      <w:jc w:val="both"/>
    </w:pPr>
    <w:rPr>
      <w:rFonts w:ascii="Times New Roman" w:hAnsi="Times New Roman" w:cs="Arial"/>
      <w:sz w:val="24"/>
      <w:szCs w:val="24"/>
    </w:rPr>
  </w:style>
  <w:style w:type="paragraph" w:styleId="Nivel01Titulo" w:customStyle="1">
    <w:name w:val="Nivel_01_Titulo"/>
    <w:basedOn w:val="Nivel01"/>
    <w:link w:val="Nivel01TituloChar"/>
    <w:qFormat/>
    <w:rsid w:val="00b0482c"/>
    <w:pPr>
      <w:jc w:val="left"/>
    </w:pPr>
    <w:rPr>
      <w:rFonts w:cs="Times New Roman"/>
      <w:color w:themeColor="dark1" w:val="000000"/>
      <w:spacing w:val="5"/>
      <w:kern w:val="2"/>
      <w:sz w:val="52"/>
      <w:szCs w:val="52"/>
    </w:rPr>
  </w:style>
  <w:style w:type="paragraph" w:styleId="PADRO" w:customStyle="1">
    <w:name w:val="PADRÃO"/>
    <w:qFormat/>
    <w:rsid w:val="00b0482c"/>
    <w:pPr>
      <w:keepNext w:val="true"/>
      <w:widowControl w:val="false"/>
      <w:shd w:val="clear" w:color="auto" w:fill="FFFFFF"/>
      <w:suppressAutoHyphens w:val="true"/>
      <w:overflowPunct w:val="true"/>
      <w:bidi w:val="0"/>
      <w:spacing w:lineRule="auto" w:line="276" w:before="119" w:after="119"/>
      <w:ind w:firstLine="567"/>
      <w:jc w:val="both"/>
      <w:textAlignment w:val="baseline"/>
    </w:pPr>
    <w:rPr>
      <w:rFonts w:ascii="Ecofont_Spranq_eco_Sans" w:hAnsi="Ecofont_Spranq_eco_Sans" w:eastAsia="WenQuanYi Micro Hei" w:cs="Lohit Hindi"/>
      <w:color w:val="auto"/>
      <w:kern w:val="0"/>
      <w:sz w:val="20"/>
      <w:szCs w:val="24"/>
      <w:lang w:val="pt-BR" w:eastAsia="zh-CN" w:bidi="hi-IN"/>
    </w:rPr>
  </w:style>
  <w:style w:type="paragraph" w:styleId="Citao1" w:customStyle="1">
    <w:name w:val="Citação1"/>
    <w:basedOn w:val="Normal"/>
    <w:next w:val="Normal"/>
    <w:link w:val="QuoteChar"/>
    <w:qFormat/>
    <w:rsid w:val="00b0482c"/>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sz w:val="20"/>
      <w:szCs w:val="20"/>
      <w:lang w:eastAsia="en-US"/>
    </w:rPr>
  </w:style>
  <w:style w:type="paragraph" w:styleId="Paragraph" w:customStyle="1">
    <w:name w:val="paragraph"/>
    <w:basedOn w:val="Normal"/>
    <w:qFormat/>
    <w:rsid w:val="00b0482c"/>
    <w:pPr>
      <w:spacing w:before="280" w:after="280"/>
    </w:pPr>
    <w:rPr>
      <w:rFonts w:ascii="Times New Roman" w:hAnsi="Times New Roman" w:eastAsia="Times New Roman" w:cs="Times New Roman"/>
    </w:rPr>
  </w:style>
  <w:style w:type="paragraph" w:styleId="Nivel1" w:customStyle="1">
    <w:name w:val="Nivel1"/>
    <w:basedOn w:val="Heading1"/>
    <w:link w:val="Nivel1Char"/>
    <w:qFormat/>
    <w:rsid w:val="00b0482c"/>
    <w:pPr>
      <w:spacing w:lineRule="auto" w:line="276"/>
      <w:ind w:hanging="357" w:left="357"/>
      <w:jc w:val="both"/>
    </w:pPr>
    <w:rPr>
      <w:rFonts w:ascii="Arial" w:hAnsi="Arial" w:cs="Arial"/>
      <w:bCs w:val="false"/>
    </w:rPr>
  </w:style>
  <w:style w:type="paragraph" w:styleId="PargrafodaLista1" w:customStyle="1">
    <w:name w:val="Parágrafo da Lista1"/>
    <w:basedOn w:val="Normal"/>
    <w:qFormat/>
    <w:rsid w:val="00b0482c"/>
    <w:pPr>
      <w:ind w:left="720"/>
    </w:pPr>
    <w:rPr>
      <w:rFonts w:eastAsia="Times New Roman" w:cs="Ecofont_Spranq_eco_Sans"/>
    </w:rPr>
  </w:style>
  <w:style w:type="paragraph" w:styleId="Nivel2" w:customStyle="1">
    <w:name w:val="Nivel 2"/>
    <w:basedOn w:val="Normal"/>
    <w:link w:val="Nivel2Char"/>
    <w:autoRedefine/>
    <w:qFormat/>
    <w:rsid w:val="00b0482c"/>
    <w:pPr>
      <w:numPr>
        <w:ilvl w:val="1"/>
        <w:numId w:val="2"/>
      </w:numPr>
      <w:spacing w:lineRule="auto" w:line="276" w:before="120" w:after="120"/>
      <w:ind w:hanging="0" w:left="0"/>
      <w:jc w:val="both"/>
    </w:pPr>
    <w:rPr>
      <w:rFonts w:ascii="Arial" w:hAnsi="Arial" w:eastAsia="Arial" w:cs="Arial"/>
      <w:b w:val="false"/>
      <w:bCs w:val="false"/>
      <w:color w:val="000000"/>
      <w:sz w:val="20"/>
      <w:szCs w:val="20"/>
    </w:rPr>
  </w:style>
  <w:style w:type="paragraph" w:styleId="Nivel11" w:customStyle="1">
    <w:name w:val="Nivel 1"/>
    <w:basedOn w:val="Nivel2"/>
    <w:next w:val="Nivel2"/>
    <w:qFormat/>
    <w:rsid w:val="00b0482c"/>
    <w:pPr>
      <w:numPr>
        <w:ilvl w:val="0"/>
        <w:numId w:val="0"/>
      </w:numPr>
      <w:ind w:hanging="360" w:left="360"/>
    </w:pPr>
    <w:rPr>
      <w:b/>
    </w:rPr>
  </w:style>
  <w:style w:type="paragraph" w:styleId="Nivel3" w:customStyle="1">
    <w:name w:val="Nivel 3"/>
    <w:basedOn w:val="Normal"/>
    <w:link w:val="Nivel3Char"/>
    <w:autoRedefine/>
    <w:qFormat/>
    <w:rsid w:val="00b0482c"/>
    <w:pPr>
      <w:numPr>
        <w:ilvl w:val="2"/>
        <w:numId w:val="2"/>
      </w:numPr>
      <w:spacing w:lineRule="auto" w:line="276" w:before="120" w:after="120"/>
      <w:ind w:hanging="0" w:left="284"/>
      <w:jc w:val="both"/>
    </w:pPr>
    <w:rPr>
      <w:rFonts w:ascii="Arial" w:hAnsi="Arial" w:cs="Arial"/>
      <w:color w:val="000000"/>
      <w:sz w:val="20"/>
      <w:szCs w:val="20"/>
    </w:rPr>
  </w:style>
  <w:style w:type="paragraph" w:styleId="Nivel4" w:customStyle="1">
    <w:name w:val="Nivel 4"/>
    <w:basedOn w:val="Nivel3"/>
    <w:link w:val="Nivel4Char"/>
    <w:autoRedefine/>
    <w:qFormat/>
    <w:rsid w:val="00b0482c"/>
    <w:pPr>
      <w:ind w:left="567"/>
    </w:pPr>
    <w:rPr>
      <w:color w:val="auto"/>
    </w:rPr>
  </w:style>
  <w:style w:type="paragraph" w:styleId="Nivel5" w:customStyle="1">
    <w:name w:val="Nivel 5"/>
    <w:basedOn w:val="Nivel4"/>
    <w:autoRedefine/>
    <w:qFormat/>
    <w:rsid w:val="00b0482c"/>
    <w:pPr>
      <w:ind w:left="851"/>
    </w:pPr>
    <w:rPr/>
  </w:style>
  <w:style w:type="paragraph" w:styleId="Textbody" w:customStyle="1">
    <w:name w:val="textbody"/>
    <w:basedOn w:val="Normal"/>
    <w:qFormat/>
    <w:rsid w:val="00b0482c"/>
    <w:pPr>
      <w:spacing w:before="280" w:after="280"/>
    </w:pPr>
    <w:rPr>
      <w:rFonts w:ascii="Times New Roman" w:hAnsi="Times New Roman" w:eastAsia="Times New Roman" w:cs="Times New Roman"/>
    </w:rPr>
  </w:style>
  <w:style w:type="paragraph" w:styleId="Em0020ementa" w:customStyle="1">
    <w:name w:val="em_0020ementa"/>
    <w:basedOn w:val="Normal"/>
    <w:qFormat/>
    <w:rsid w:val="00b0482c"/>
    <w:pPr>
      <w:ind w:left="4160"/>
      <w:jc w:val="both"/>
    </w:pPr>
    <w:rPr>
      <w:rFonts w:ascii="Times New Roman" w:hAnsi="Times New Roman" w:eastAsia="Times New Roman" w:cs="Times New Roman"/>
      <w:sz w:val="28"/>
      <w:szCs w:val="28"/>
    </w:rPr>
  </w:style>
  <w:style w:type="paragraph" w:styleId="Revision">
    <w:name w:val="Revision"/>
    <w:qFormat/>
    <w:rsid w:val="00b0482c"/>
    <w:pPr>
      <w:widowControl/>
      <w:suppressAutoHyphens w:val="true"/>
      <w:overflowPunct w:val="true"/>
      <w:bidi w:val="0"/>
      <w:spacing w:before="0" w:after="0"/>
      <w:jc w:val="left"/>
    </w:pPr>
    <w:rPr>
      <w:rFonts w:ascii="Ecofont_Spranq_eco_Sans" w:hAnsi="Ecofont_Spranq_eco_Sans" w:eastAsia="Times New Roman" w:cs="Tahoma"/>
      <w:color w:val="auto"/>
      <w:kern w:val="0"/>
      <w:sz w:val="24"/>
      <w:szCs w:val="24"/>
      <w:lang w:val="pt-BR" w:eastAsia="pt-BR" w:bidi="ar-SA"/>
    </w:rPr>
  </w:style>
  <w:style w:type="paragraph" w:styleId="Texto1" w:customStyle="1">
    <w:name w:val="texto1"/>
    <w:basedOn w:val="Normal"/>
    <w:qFormat/>
    <w:rsid w:val="00b0482c"/>
    <w:pPr>
      <w:spacing w:before="280" w:after="280"/>
    </w:pPr>
    <w:rPr>
      <w:rFonts w:ascii="Times New Roman" w:hAnsi="Times New Roman" w:eastAsia="Times New Roman" w:cs="Times New Roman"/>
    </w:rPr>
  </w:style>
  <w:style w:type="paragraph" w:styleId="GradeColorida-nfase11" w:customStyle="1">
    <w:name w:val="Grade Colorida - Ênfase 11"/>
    <w:basedOn w:val="Normal"/>
    <w:next w:val="Normal"/>
    <w:link w:val="GradeColorida-nfase1Char"/>
    <w:qFormat/>
    <w:rsid w:val="00b0482c"/>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cs="Times New Roman"/>
      <w:i/>
      <w:iCs/>
      <w:color w:val="000000"/>
      <w:sz w:val="20"/>
      <w:lang w:eastAsia="en-US"/>
    </w:rPr>
  </w:style>
  <w:style w:type="paragraph" w:styleId="Xwestern" w:customStyle="1">
    <w:name w:val="x_western"/>
    <w:basedOn w:val="Normal"/>
    <w:qFormat/>
    <w:rsid w:val="00b0482c"/>
    <w:pPr>
      <w:spacing w:before="280" w:after="280"/>
    </w:pPr>
    <w:rPr>
      <w:rFonts w:ascii="Times New Roman" w:hAnsi="Times New Roman" w:eastAsia="Times New Roman" w:cs="Times New Roman"/>
    </w:rPr>
  </w:style>
  <w:style w:type="paragraph" w:styleId="TCU-Ac-item9-0" w:customStyle="1">
    <w:name w:val="TCU - Ac - item 9 - §§_0"/>
    <w:basedOn w:val="Normal"/>
    <w:qFormat/>
    <w:rsid w:val="00b0482c"/>
    <w:pPr>
      <w:ind w:firstLine="1134"/>
      <w:jc w:val="both"/>
    </w:pPr>
    <w:rPr>
      <w:rFonts w:ascii="Times New Roman" w:hAnsi="Times New Roman" w:eastAsia="Times New Roman" w:cs="Times New Roman"/>
      <w:szCs w:val="22"/>
      <w:lang w:eastAsia="en-US"/>
    </w:rPr>
  </w:style>
  <w:style w:type="paragraph" w:styleId="Normal1" w:customStyle="1">
    <w:name w:val="Normal_1"/>
    <w:qFormat/>
    <w:rsid w:val="00b0482c"/>
    <w:pPr>
      <w:widowControl/>
      <w:suppressAutoHyphens w:val="true"/>
      <w:overflowPunct w:val="true"/>
      <w:bidi w:val="0"/>
      <w:spacing w:before="0" w:after="0"/>
      <w:jc w:val="left"/>
    </w:pPr>
    <w:rPr>
      <w:rFonts w:ascii="Times New Roman" w:hAnsi="Times New Roman" w:eastAsia="Times New Roman" w:cs="Times New Roman"/>
      <w:color w:val="auto"/>
      <w:kern w:val="0"/>
      <w:sz w:val="24"/>
      <w:szCs w:val="22"/>
      <w:lang w:val="pt-BR" w:eastAsia="en-US" w:bidi="ar-SA"/>
    </w:rPr>
  </w:style>
  <w:style w:type="paragraph" w:styleId="Tcu-ac-item9-1linha" w:customStyle="1">
    <w:name w:val="tcu_-__ac_-_item_9_-_1ª_linha"/>
    <w:basedOn w:val="Normal"/>
    <w:qFormat/>
    <w:rsid w:val="00b0482c"/>
    <w:pPr>
      <w:spacing w:before="280" w:after="280"/>
    </w:pPr>
    <w:rPr>
      <w:rFonts w:ascii="Times New Roman" w:hAnsi="Times New Roman" w:eastAsia="Times New Roman" w:cs="Times New Roman"/>
    </w:rPr>
  </w:style>
  <w:style w:type="paragraph" w:styleId="Textojustificadorecuoprimeiralinha" w:customStyle="1">
    <w:name w:val="texto_justificado_recuo_primeira_linha"/>
    <w:basedOn w:val="Normal"/>
    <w:qFormat/>
    <w:rsid w:val="00b0482c"/>
    <w:pPr>
      <w:spacing w:before="280" w:after="280"/>
    </w:pPr>
    <w:rPr>
      <w:rFonts w:ascii="Times New Roman" w:hAnsi="Times New Roman" w:eastAsia="Times New Roman" w:cs="Times New Roman"/>
    </w:rPr>
  </w:style>
  <w:style w:type="paragraph" w:styleId="Textojustificado" w:customStyle="1">
    <w:name w:val="texto_justificado"/>
    <w:basedOn w:val="Normal"/>
    <w:qFormat/>
    <w:rsid w:val="00b0482c"/>
    <w:pPr>
      <w:spacing w:before="280" w:after="280"/>
    </w:pPr>
    <w:rPr>
      <w:rFonts w:ascii="Times New Roman" w:hAnsi="Times New Roman" w:eastAsia="Times New Roman" w:cs="Times New Roman"/>
    </w:rPr>
  </w:style>
  <w:style w:type="paragraph" w:styleId="Nvel2Opcional" w:customStyle="1">
    <w:name w:val="Nível 2 Opcional"/>
    <w:basedOn w:val="Nivel2"/>
    <w:link w:val="Nvel2OpcionalChar"/>
    <w:qFormat/>
    <w:rsid w:val="00b0482c"/>
    <w:pPr>
      <w:numPr>
        <w:ilvl w:val="0"/>
        <w:numId w:val="0"/>
      </w:numPr>
      <w:ind w:hanging="432" w:left="432"/>
    </w:pPr>
    <w:rPr>
      <w:rFonts w:eastAsia="Times New Roman"/>
      <w:i/>
      <w:color w:val="FF0000"/>
    </w:rPr>
  </w:style>
  <w:style w:type="paragraph" w:styleId="Nvel3Opcional" w:customStyle="1">
    <w:name w:val="Nível 3 Opcional"/>
    <w:basedOn w:val="Nivel3"/>
    <w:link w:val="Nvel3OpcionalChar"/>
    <w:qFormat/>
    <w:rsid w:val="00b0482c"/>
    <w:pPr>
      <w:numPr>
        <w:ilvl w:val="0"/>
        <w:numId w:val="0"/>
      </w:numPr>
      <w:ind w:hanging="504" w:left="1072"/>
    </w:pPr>
    <w:rPr>
      <w:rFonts w:eastAsia="Times New Roman"/>
      <w:i/>
      <w:iCs/>
      <w:color w:val="FF0000"/>
    </w:rPr>
  </w:style>
  <w:style w:type="paragraph" w:styleId="SombreamentoMdio1-nfase31" w:customStyle="1">
    <w:name w:val="Sombreamento Médio 1 - Ênfase 31"/>
    <w:basedOn w:val="Normal"/>
    <w:next w:val="Normal"/>
    <w:qFormat/>
    <w:rsid w:val="00b0482c"/>
    <w:pPr>
      <w:pBdr>
        <w:top w:val="single" w:sz="4" w:space="1" w:color="000080"/>
        <w:left w:val="single" w:sz="4" w:space="4" w:color="000080"/>
        <w:bottom w:val="single" w:sz="4" w:space="1" w:color="000080"/>
        <w:right w:val="single" w:sz="4" w:space="4" w:color="000080"/>
      </w:pBdr>
      <w:shd w:val="clear" w:color="auto" w:fill="FFFFCC"/>
      <w:spacing w:before="120" w:after="0"/>
      <w:jc w:val="both"/>
    </w:pPr>
    <w:rPr>
      <w:rFonts w:eastAsia="Calibri"/>
      <w:i/>
      <w:iCs/>
      <w:color w:val="000000"/>
      <w:sz w:val="20"/>
      <w:lang w:eastAsia="zh-CN"/>
    </w:rPr>
  </w:style>
  <w:style w:type="paragraph" w:styleId="Corpo" w:customStyle="1">
    <w:name w:val="corpo"/>
    <w:basedOn w:val="Normal"/>
    <w:qFormat/>
    <w:rsid w:val="00b0482c"/>
    <w:pPr>
      <w:spacing w:before="280" w:after="280"/>
    </w:pPr>
    <w:rPr>
      <w:rFonts w:ascii="Times New Roman" w:hAnsi="Times New Roman" w:eastAsia="Times New Roman" w:cs="Times New Roman"/>
    </w:rPr>
  </w:style>
  <w:style w:type="paragraph" w:styleId="Itemnivel2" w:customStyle="1">
    <w:name w:val="item_nivel2"/>
    <w:basedOn w:val="Normal"/>
    <w:qFormat/>
    <w:rsid w:val="00b0482c"/>
    <w:pPr>
      <w:spacing w:before="280" w:after="280"/>
    </w:pPr>
    <w:rPr>
      <w:rFonts w:ascii="Times New Roman" w:hAnsi="Times New Roman" w:eastAsia="Times New Roman" w:cs="Times New Roman"/>
    </w:rPr>
  </w:style>
  <w:style w:type="paragraph" w:styleId="Itemnivel1" w:customStyle="1">
    <w:name w:val="item_nivel1"/>
    <w:basedOn w:val="Normal"/>
    <w:qFormat/>
    <w:rsid w:val="00b0482c"/>
    <w:pPr>
      <w:spacing w:before="280" w:after="280"/>
    </w:pPr>
    <w:rPr>
      <w:rFonts w:ascii="Times New Roman" w:hAnsi="Times New Roman" w:eastAsia="Times New Roman" w:cs="Times New Roman"/>
    </w:rPr>
  </w:style>
  <w:style w:type="paragraph" w:styleId="Itemalinealetra" w:customStyle="1">
    <w:name w:val="item_alinea_letra"/>
    <w:basedOn w:val="Normal"/>
    <w:qFormat/>
    <w:rsid w:val="00b0482c"/>
    <w:pPr>
      <w:spacing w:before="280" w:after="280"/>
    </w:pPr>
    <w:rPr>
      <w:rFonts w:ascii="Times New Roman" w:hAnsi="Times New Roman" w:eastAsia="Times New Roman" w:cs="Times New Roman"/>
    </w:rPr>
  </w:style>
  <w:style w:type="paragraph" w:styleId="Standard" w:customStyle="1">
    <w:name w:val="Standard"/>
    <w:qFormat/>
    <w:rsid w:val="00b0482c"/>
    <w:pPr>
      <w:widowControl/>
      <w:suppressAutoHyphens w:val="true"/>
      <w:overflowPunct w:val="true"/>
      <w:bidi w:val="0"/>
      <w:spacing w:before="0" w:after="0"/>
      <w:jc w:val="left"/>
    </w:pPr>
    <w:rPr>
      <w:rFonts w:ascii="Liberation Serif" w:hAnsi="Liberation Serif" w:eastAsia="NSimSun" w:cs="Lucida Sans"/>
      <w:color w:val="auto"/>
      <w:kern w:val="2"/>
      <w:sz w:val="24"/>
      <w:szCs w:val="24"/>
      <w:lang w:val="pt-BR" w:eastAsia="zh-CN" w:bidi="hi-IN"/>
    </w:rPr>
  </w:style>
  <w:style w:type="paragraph" w:styleId="Textbody1" w:customStyle="1">
    <w:name w:val="Text body"/>
    <w:basedOn w:val="Standard"/>
    <w:qFormat/>
    <w:rsid w:val="00b0482c"/>
    <w:pPr>
      <w:spacing w:lineRule="auto" w:line="276" w:before="0" w:after="140"/>
    </w:pPr>
    <w:rPr/>
  </w:style>
  <w:style w:type="paragraph" w:styleId="Ou" w:customStyle="1">
    <w:name w:val="ou"/>
    <w:basedOn w:val="ListParagraph"/>
    <w:link w:val="OuChar"/>
    <w:qFormat/>
    <w:rsid w:val="00b0482c"/>
    <w:pPr>
      <w:spacing w:lineRule="auto" w:line="259" w:before="60" w:after="60"/>
      <w:ind w:left="0"/>
      <w:contextualSpacing w:val="false"/>
      <w:jc w:val="center"/>
    </w:pPr>
    <w:rPr>
      <w:rFonts w:ascii="Arial" w:hAnsi="Arial" w:eastAsia="Cambria" w:cs="Arial"/>
      <w:b/>
      <w:bCs/>
      <w:i/>
      <w:iCs/>
      <w:color w:val="FF0000"/>
      <w:sz w:val="20"/>
      <w:u w:val="single"/>
    </w:rPr>
  </w:style>
  <w:style w:type="paragraph" w:styleId="Dou-paragraph" w:customStyle="1">
    <w:name w:val="dou-paragraph"/>
    <w:basedOn w:val="Normal"/>
    <w:qFormat/>
    <w:rsid w:val="00b0482c"/>
    <w:pPr>
      <w:spacing w:before="280" w:after="280"/>
    </w:pPr>
    <w:rPr>
      <w:rFonts w:ascii="Times New Roman" w:hAnsi="Times New Roman" w:eastAsia="Times New Roman" w:cs="Times New Roman"/>
    </w:rPr>
  </w:style>
  <w:style w:type="paragraph" w:styleId="Nvel2-Red" w:customStyle="1">
    <w:name w:val="Nível 2 -Red"/>
    <w:basedOn w:val="Nivel2"/>
    <w:link w:val="Nvel2-RedChar"/>
    <w:qFormat/>
    <w:rsid w:val="00b0482c"/>
    <w:pPr/>
    <w:rPr>
      <w:i/>
      <w:iCs/>
      <w:color w:val="FF0000"/>
    </w:rPr>
  </w:style>
  <w:style w:type="paragraph" w:styleId="Nvel3-R" w:customStyle="1">
    <w:name w:val="Nível 3-R"/>
    <w:basedOn w:val="Nivel3"/>
    <w:link w:val="Nvel3-RChar"/>
    <w:autoRedefine/>
    <w:qFormat/>
    <w:rsid w:val="00b0482c"/>
    <w:pPr/>
    <w:rPr>
      <w:lang w:eastAsia="en-US"/>
    </w:rPr>
  </w:style>
  <w:style w:type="paragraph" w:styleId="Nvel4-R" w:customStyle="1">
    <w:name w:val="Nível 4-R"/>
    <w:basedOn w:val="Nivel4"/>
    <w:link w:val="Nvel4-RChar"/>
    <w:autoRedefine/>
    <w:qFormat/>
    <w:rsid w:val="00b0482c"/>
    <w:pPr/>
    <w:rPr>
      <w:i/>
      <w:iCs/>
      <w:color w:val="FF0000"/>
    </w:rPr>
  </w:style>
  <w:style w:type="paragraph" w:styleId="Nvel1-SemNum" w:customStyle="1">
    <w:name w:val="Nível 1-Sem Num"/>
    <w:basedOn w:val="Nivel01"/>
    <w:link w:val="Nvel1-SemNumChar"/>
    <w:autoRedefine/>
    <w:qFormat/>
    <w:rsid w:val="00b0482c"/>
    <w:pPr>
      <w:numPr>
        <w:ilvl w:val="0"/>
        <w:numId w:val="0"/>
      </w:numPr>
      <w:ind w:hanging="0" w:left="0"/>
      <w:outlineLvl w:val="1"/>
    </w:pPr>
    <w:rPr/>
  </w:style>
  <w:style w:type="paragraph" w:styleId="Citao2" w:customStyle="1">
    <w:name w:val="citação 2"/>
    <w:basedOn w:val="Quote"/>
    <w:qFormat/>
    <w:rsid w:val="00b0482c"/>
    <w:pPr/>
    <w:rPr>
      <w:szCs w:val="20"/>
    </w:rPr>
  </w:style>
  <w:style w:type="paragraph" w:styleId="Prembulo" w:customStyle="1">
    <w:name w:val="Preâmbulo"/>
    <w:basedOn w:val="Normal"/>
    <w:link w:val="PrembuloChar"/>
    <w:qFormat/>
    <w:rsid w:val="00b0482c"/>
    <w:pPr>
      <w:spacing w:lineRule="auto" w:line="360" w:before="480" w:after="120"/>
      <w:ind w:left="4253" w:right="-17"/>
      <w:jc w:val="both"/>
    </w:pPr>
    <w:rPr>
      <w:rFonts w:ascii="Arial" w:hAnsi="Arial" w:eastAsia="Arial" w:cs="Arial"/>
      <w:bCs/>
      <w:sz w:val="20"/>
      <w:szCs w:val="20"/>
    </w:rPr>
  </w:style>
  <w:style w:type="paragraph" w:styleId="Nivel3-erro" w:customStyle="1">
    <w:name w:val="Nivel 3-erro"/>
    <w:basedOn w:val="Nivel3"/>
    <w:link w:val="Nivel3-erroChar"/>
    <w:qFormat/>
    <w:rsid w:val="00b0482c"/>
    <w:pPr>
      <w:numPr>
        <w:ilvl w:val="2"/>
        <w:numId w:val="1"/>
      </w:numPr>
      <w:spacing w:lineRule="auto" w:line="240"/>
      <w:ind w:hanging="0" w:left="425"/>
    </w:pPr>
    <w:rPr>
      <w:rFonts w:cs="Tahoma"/>
      <w:color w:val="auto"/>
      <w:szCs w:val="24"/>
    </w:rPr>
  </w:style>
  <w:style w:type="paragraph" w:styleId="Alteraes" w:customStyle="1">
    <w:name w:val="Alterações"/>
    <w:basedOn w:val="Normal"/>
    <w:link w:val="AlteraesChar"/>
    <w:qFormat/>
    <w:rsid w:val="00b0482c"/>
    <w:pPr>
      <w:spacing w:lineRule="auto" w:line="276" w:before="120" w:after="120"/>
      <w:jc w:val="both"/>
      <w:outlineLvl w:val="1"/>
    </w:pPr>
    <w:rPr>
      <w:rFonts w:ascii="Arial" w:hAnsi="Arial" w:cs="Arial"/>
      <w:i/>
      <w:iCs/>
      <w:color w:val="0000FF"/>
      <w:sz w:val="20"/>
      <w:szCs w:val="20"/>
    </w:rPr>
  </w:style>
  <w:style w:type="paragraph" w:styleId="Nvel1-SemNumPreto" w:customStyle="1">
    <w:name w:val="Nível 1-Sem Num Preto"/>
    <w:basedOn w:val="Nvel1-SemNum"/>
    <w:link w:val="Nvel1-SemNumPretoChar"/>
    <w:qFormat/>
    <w:rsid w:val="00b0482c"/>
    <w:pPr/>
    <w:rPr>
      <w:lang w:eastAsia="zh-CN" w:bidi="hi-IN"/>
    </w:rPr>
  </w:style>
  <w:style w:type="paragraph" w:styleId="Contedodatabela3" w:customStyle="1">
    <w:name w:val="Conteúdo da tabela3"/>
    <w:basedOn w:val="Normal"/>
    <w:qFormat/>
    <w:rsid w:val="00b0482c"/>
    <w:pPr>
      <w:widowControl w:val="false"/>
      <w:suppressLineNumbers/>
    </w:pPr>
    <w:rPr/>
  </w:style>
  <w:style w:type="paragraph" w:styleId="Contedodatabela" w:customStyle="1">
    <w:name w:val="Conteúdo da tabela"/>
    <w:basedOn w:val="Normal"/>
    <w:qFormat/>
    <w:rsid w:val="00b0482c"/>
    <w:pPr>
      <w:suppressLineNumbers/>
    </w:pPr>
    <w:rPr/>
  </w:style>
  <w:style w:type="paragraph" w:styleId="Ttulodetabela" w:customStyle="1">
    <w:name w:val="Título de tabela"/>
    <w:basedOn w:val="Contedodatabela"/>
    <w:qFormat/>
    <w:rsid w:val="00b0482c"/>
    <w:pPr>
      <w:jc w:val="center"/>
    </w:pPr>
    <w:rPr>
      <w:b/>
      <w:bCs/>
    </w:rPr>
  </w:style>
  <w:style w:type="paragraph" w:styleId="TableParagraph" w:customStyle="1">
    <w:name w:val="Table Paragraph"/>
    <w:basedOn w:val="Normal"/>
    <w:qFormat/>
    <w:rsid w:val="00d85048"/>
    <w:pPr/>
    <w:rPr>
      <w:rFonts w:ascii="Cambria" w:hAnsi="Cambria" w:eastAsia="Cambria" w:cs="Cambria"/>
      <w:lang w:val="pt-PT" w:eastAsia="pt-PT" w:bidi="pt-PT"/>
    </w:rPr>
  </w:style>
  <w:style w:type="paragraph" w:styleId="TOC1">
    <w:name w:val="TOC 1"/>
    <w:basedOn w:val="Normal"/>
    <w:next w:val="Normal"/>
    <w:pPr>
      <w:tabs>
        <w:tab w:val="clear" w:pos="708"/>
        <w:tab w:val="left" w:pos="440" w:leader="none"/>
        <w:tab w:val="right" w:pos="8494" w:leader="dot"/>
      </w:tabs>
      <w:spacing w:before="0" w:after="100"/>
    </w:pPr>
    <w:rPr/>
  </w:style>
  <w:style w:type="paragraph" w:styleId="IndexHeading">
    <w:name w:val="Index Heading"/>
    <w:basedOn w:val="Ttulo"/>
    <w:pPr>
      <w:suppressLineNumbers/>
      <w:ind w:hanging="0" w:left="0"/>
    </w:pPr>
    <w:rPr>
      <w:b/>
      <w:bCs/>
      <w:sz w:val="32"/>
      <w:szCs w:val="32"/>
    </w:rPr>
  </w:style>
  <w:style w:type="paragraph" w:styleId="TOCHeading">
    <w:name w:val="TOC Heading"/>
    <w:basedOn w:val="Heading1"/>
    <w:next w:val="Normal"/>
    <w:qFormat/>
    <w:pPr>
      <w:keepNext w:val="true"/>
      <w:keepLines/>
      <w:numPr>
        <w:ilvl w:val="0"/>
        <w:numId w:val="0"/>
      </w:numPr>
      <w:suppressAutoHyphens w:val="false"/>
      <w:spacing w:lineRule="auto" w:line="259" w:before="240" w:after="0"/>
      <w:ind w:firstLine="567"/>
      <w:jc w:val="left"/>
      <w:textAlignment w:val="auto"/>
      <w:outlineLvl w:val="9"/>
    </w:pPr>
    <w:rPr>
      <w:rFonts w:ascii="Calibri Light" w:hAnsi="Calibri Light" w:eastAsia="Calibri" w:cs="Tahoma"/>
      <w:b w:val="false"/>
      <w:color w:themeColor="accent1" w:themeShade="bf" w:val="2E74B5"/>
      <w:sz w:val="32"/>
      <w:szCs w:val="32"/>
      <w:lang w:eastAsia="pt-BR" w:bidi="ar-SA"/>
    </w:rPr>
  </w:style>
  <w:style w:type="paragraph" w:styleId="Caption1">
    <w:name w:val="caption1"/>
    <w:basedOn w:val="Normal"/>
    <w:qFormat/>
    <w:pPr>
      <w:suppressLineNumbers/>
      <w:spacing w:before="120" w:after="120"/>
    </w:pPr>
    <w:rPr>
      <w:rFonts w:cs="FreeSans"/>
      <w:i/>
      <w:iCs/>
      <w:sz w:val="24"/>
    </w:rPr>
  </w:style>
  <w:style w:type="paragraph" w:styleId="Contedodalista">
    <w:name w:val="Conteúdo da lista"/>
    <w:basedOn w:val="Normal"/>
    <w:qFormat/>
    <w:pPr>
      <w:ind w:left="567"/>
    </w:pPr>
    <w:rPr/>
  </w:style>
  <w:style w:type="numbering" w:styleId="NoList" w:default="1">
    <w:name w:val="No List"/>
    <w:uiPriority w:val="99"/>
    <w:semiHidden/>
    <w:unhideWhenUsed/>
    <w:qFormat/>
  </w:style>
  <w:style w:type="numbering" w:styleId="Estilo11" w:customStyle="1">
    <w:name w:val="Estilo11"/>
    <w:qFormat/>
    <w:rsid w:val="00b0482c"/>
  </w:style>
  <w:style w:type="numbering" w:styleId="Estilo2" w:customStyle="1">
    <w:name w:val="Estilo2"/>
    <w:qFormat/>
    <w:rsid w:val="00b0482c"/>
  </w:style>
  <w:style w:type="numbering" w:styleId="Estilo3" w:customStyle="1">
    <w:name w:val="Estilo3"/>
    <w:qFormat/>
    <w:rsid w:val="00b0482c"/>
  </w:style>
  <w:style w:type="numbering" w:styleId="Estilo4" w:customStyle="1">
    <w:name w:val="Estilo4"/>
    <w:qFormat/>
    <w:rsid w:val="00b0482c"/>
  </w:style>
  <w:style w:type="numbering" w:styleId="Estilo5" w:customStyle="1">
    <w:name w:val="Estilo5"/>
    <w:qFormat/>
    <w:rsid w:val="00b0482c"/>
  </w:style>
  <w:style w:type="numbering" w:styleId="Estilo6" w:customStyle="1">
    <w:name w:val="Estilo6"/>
    <w:qFormat/>
    <w:rsid w:val="00b0482c"/>
  </w:style>
  <w:style w:type="table" w:default="1" w:styleId="Tabelanormal">
    <w:name w:val="Normal Table"/>
    <w:uiPriority w:val="99"/>
    <w:semiHidden/>
    <w:unhideWhenUsed/>
    <w:qFormat/>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hyperlink" Target="https://in.gov.br/en/web/dou/-/instrucao-normativa-seges/me-n-77-de-4-de-novembro-de-2022-441681061" TargetMode="External"/><Relationship Id="rId4" Type="http://schemas.openxmlformats.org/officeDocument/2006/relationships/hyperlink" Target="https://www.planalto.gov.br/ccivil_03/leis/lcp/lcp123.htm" TargetMode="External"/><Relationship Id="rId5" Type="http://schemas.openxmlformats.org/officeDocument/2006/relationships/hyperlink" Target="https://www.gov.br/compras/pt-br/acesso-a-informacao/legislacao/instrucoes-normativas/instrucao-normativa-no-53-de-8-de-julho-de-2020" TargetMode="External"/><Relationship Id="rId6" Type="http://schemas.openxmlformats.org/officeDocument/2006/relationships/hyperlink" Target="http://www.planalto.gov.br/ccivil_03/AGU/Pareceres/2019-2022/PRC-JL-01-2020.htm" TargetMode="External"/><Relationship Id="rId7" Type="http://schemas.openxmlformats.org/officeDocument/2006/relationships/hyperlink" Target="http://www.portaldatransparencia.gov.br/ceis" TargetMode="External"/><Relationship Id="rId8" Type="http://schemas.openxmlformats.org/officeDocument/2006/relationships/hyperlink" Target="https://www.portaltransparencia.gov.br/sancoes/cnep" TargetMode="External"/><Relationship Id="rId9" Type="http://schemas.openxmlformats.org/officeDocument/2006/relationships/hyperlink" Target="https://www.gov.br/empresas-e-negocios/pt-br/empreendedor" TargetMode="External"/><Relationship Id="rId10" Type="http://schemas.openxmlformats.org/officeDocument/2006/relationships/hyperlink" Target="https://www.gov.br/economia/pt-br/assuntos/drei/legislacao/arquivos/legislacoes-federais/indrei772020.pdf" TargetMode="External"/><Relationship Id="rId11" Type="http://schemas.openxmlformats.org/officeDocument/2006/relationships/hyperlink" Target="https://www.gov.br/trabalho-e-previdencia/pt-br/servicos/empregador/programa-de-alimentacao-do-trabalhador-pat/arquivos-legislacao/instrucoes-normativas/pat_in_971_2009.pdf" TargetMode="External"/><Relationship Id="rId12" Type="http://schemas.openxmlformats.org/officeDocument/2006/relationships/header" Target="header1.xml"/><Relationship Id="rId13" Type="http://schemas.openxmlformats.org/officeDocument/2006/relationships/footer" Target="footer1.xml"/><Relationship Id="rId14" Type="http://schemas.openxmlformats.org/officeDocument/2006/relationships/numbering" Target="numbering.xml"/><Relationship Id="rId15" Type="http://schemas.openxmlformats.org/officeDocument/2006/relationships/fontTable" Target="fontTable.xml"/><Relationship Id="rId16" Type="http://schemas.openxmlformats.org/officeDocument/2006/relationships/settings" Target="settings.xml"/><Relationship Id="rId17"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Them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Normal</Template>
  <TotalTime>681</TotalTime>
  <Application>LibreOffice/7.6.4.1$Windows_X86_64 LibreOffice_project/e19e193f88cd6c0525a17fb7a176ed8e6a3e2aa1</Application>
  <AppVersion>15.0000</AppVersion>
  <Pages>15</Pages>
  <Words>5270</Words>
  <Characters>29897</Characters>
  <CharactersWithSpaces>34800</CharactersWithSpaces>
  <Paragraphs>289</Paragraphs>
  <Company>Hewlett-Packard Company</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2023-12-21T22:48:00Z</dcterms:created>
  <dc:creator/>
  <dc:description/>
  <dc:language>pt-BR</dc:language>
  <cp:lastModifiedBy/>
  <cp:lastPrinted>2024-06-28T10:56:44Z</cp:lastPrinted>
  <dcterms:modified xsi:type="dcterms:W3CDTF">2024-09-13T10:17:07Z</dcterms:modified>
  <cp:revision>44</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0x01010082281FE09FF7E246B4A010428826EACD</vt:lpwstr>
  </property>
</Properties>
</file>